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TEMPS DE DEMI-RÉACTION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1.1 )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 prélever ...g de iodure de potassium grâce à une balance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 verser le prélèvement dans une fiole jaugée de ...mL grâce à un entonnoir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rincer l’entonnoir tout en le laissant dans la fiole jaugée pour éviter toute perte de soluté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remplir la fiole jaugée jusqu’au 3⁄4 avec de l’eau distillée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boucher puis agiter jusqu’à dissolution complète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remplir la fiole jaugée jusqu’au trait de jauge avec de l’eau distillée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homogénéiser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Déterminer masse soluté 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 = C x V x 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1.2 ) Une seule espèce est colorée dans la réaction support on peut donc procéder à un suivi spectrophotométrique qui permet de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mesurer l’absorbance A d’une solution liée à sa couleur. Celle-ci est proportionnelle à la concentration en iodure de potassium ce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qui permet donc d’étudier l’évolution temporelle de la réaction et d’effectuer un suivi cinétique.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1.3 ) Sur le spectre d’absorption obtenu on remarque que le pic d’absorbance correspond à une longueur d’onde λmax=...nm. Il faut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donc régler le spectrophotomètre sur λmax=...nm.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2 ) Le temps de demi-réaction, noté t1⁄2 , est la durée au bout de laquelle l’avancement est égal à la moitié de l’avancement final.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Dans la situation étudiée, à t1⁄2 l’absorbance est égale à la moitié de l’absorbance maximale. Or λmax=...nm donc à t1⁄2, λt1⁄2 = λmax/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2. Ce qui signifie que t1⁄2 est atteint lorsque λt1⁄2 est atteint.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3 ) Afin d’accélérer la réaction, il faut augmenter la concentration d’une des solutions. Puisque nous ne voulons pas modifier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l’avancement final, et que le peroxyde d’hydrogène est le réactif limitant, nous n’augmentons donc pas la concentration de celui-ci.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Il est impossible d’augmenter la concentration de l’acide sulfurique, celui de notre mélange étant concentré à 1,0 mol.L-1 et celui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que nous avons sur notre paillasse étant soit à 1,0 mol.L-1 ou à 0,5 mol.L-1. Il ne reste donc qu’à augmenter la concentration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d’iodure de potassium en utilisant une solution d’iodure de potassium de concentration molaire 3,0 x 10-1 mol.L-1 au lieu de celle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ayant une concentration de 1,0 x 10-1 mol.L-1.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valeurs peuvent dépendre selon ce que l’on a sur la paillasse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