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1" w:sz="12" w:val="single"/>
          <w:left w:color="000000" w:space="1" w:sz="12" w:val="single"/>
          <w:bottom w:color="000000" w:space="1" w:sz="12" w:val="single"/>
          <w:right w:color="000000" w:space="1" w:sz="12" w:val="single"/>
          <w:between w:space="0" w:sz="0" w:val="nil"/>
        </w:pBdr>
        <w:shd w:fill="d9d9d9"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3"/>
        <w:gridCol w:w="4933"/>
        <w:tblGridChange w:id="0">
          <w:tblGrid>
            <w:gridCol w:w="4933"/>
            <w:gridCol w:w="4933"/>
          </w:tblGrid>
        </w:tblGridChange>
      </w:tblGrid>
      <w:tr>
        <w:trPr>
          <w:cantSplit w:val="0"/>
          <w:tblHeader w:val="0"/>
        </w:trPr>
        <w:tc>
          <w:tcPr>
            <w:tcMar>
              <w:top w:w="57.0" w:type="dxa"/>
              <w:left w:w="57.0" w:type="dxa"/>
              <w:bottom w:w="57.0" w:type="dxa"/>
              <w:right w:w="57.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cinq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margin">
              <wp:posOffset>4707563</wp:posOffset>
            </wp:positionH>
            <wp:positionV relativeFrom="margin">
              <wp:posOffset>5088878</wp:posOffset>
            </wp:positionV>
            <wp:extent cx="1684655" cy="1258570"/>
            <wp:effectExtent b="0" l="0" r="0" t="0"/>
            <wp:wrapSquare wrapText="bothSides" distB="0" distT="0" distL="114300" distR="114300"/>
            <wp:docPr descr="FICHE DE SYNTHÈSE" id="21" name="image2.jpg"/>
            <a:graphic>
              <a:graphicData uri="http://schemas.openxmlformats.org/drawingml/2006/picture">
                <pic:pic>
                  <pic:nvPicPr>
                    <pic:cNvPr descr="FICHE DE SYNTHÈSE" id="0" name="image2.jpg"/>
                    <pic:cNvPicPr preferRelativeResize="0"/>
                  </pic:nvPicPr>
                  <pic:blipFill>
                    <a:blip r:embed="rId7"/>
                    <a:srcRect b="15248" l="0" r="1448" t="11430"/>
                    <a:stretch>
                      <a:fillRect/>
                    </a:stretch>
                  </pic:blipFill>
                  <pic:spPr>
                    <a:xfrm>
                      <a:off x="0" y="0"/>
                      <a:ext cx="1684655" cy="1258570"/>
                    </a:xfrm>
                    <a:prstGeom prst="rect"/>
                    <a:ln/>
                  </pic:spPr>
                </pic:pic>
              </a:graphicData>
            </a:graphic>
          </wp:anchor>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recherche du maximum d’informations sur l’environnement est primordiale en robotique. Parmi ces informations, la mesure de distance est fondamentale pour un robot afin qu’il évite les obstacles proches de lui.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Pour réaliser ces mesures, les télémètres à ultrasons sont très couramment utilisés car ils sont peu chers et facile à manipuler.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40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 mettre en œuvre et d’utiliser un modèle simple de télémètre à ultrasons.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A DISPOSITION DU CANDIDAT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Critères de choix de son télémètre</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Deux grands types d’appareils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567" w:right="0" w:hanging="36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télémètre laser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constitué d’un système émetteur-récepteur. Une impulsion lumineuse issue du télémètre, réfléchie par une surface, peut ensuite être détectée par le récepteur. La mesure de la durée nécessaire à l’aller-retour de cette impulsion permet de déterminer la distance entre le télémètre et la surface réfléchissante. </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567" w:right="0" w:hanging="36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télémètre à ultrasons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fonctionne de manière analogue avec une onde acoustique inaudible pour l'être humain. Le système mesure alors la durée entre la date d’émission et la date de réception du signal pour accéder à la distance à mesurer.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À chaque technologie ses avantages :</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567"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télémètres lasers peuvent être utilisés en intérieur comme à l'extérieur. Leur précision est en générale de l’ordre du millimètre. Dans le cas d'une utilisation à l'extérieur, quelques éléments tels que la pluie, le brouillard ou un très fort ensoleillement peuvent fausser voire même empêcher la détermination de la distance.</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567"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télémètres à ultrasons sont particulièrement destinés à la détermination de distances au sein d'espaces vides et clos. Cependant, des obstacles, le vent, une surface accidentée ou les variations de température peuvent fausser les résultats fournis par l'appareil. Des matériaux possédant des caractéristiques acoustiques absorbantes peuvent également rendre toute mesure impossible.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D’après le site Internet d’une grande surface spécialisée dans le bricolage</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Montage simplifié d’un télémètre à ultrasons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6479540" cy="1750695"/>
            <wp:effectExtent b="0" l="0" r="0" t="0"/>
            <wp:docPr id="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79540" cy="175069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Phénomène périodique et onde progressive sinusoïdale</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phénomène périodique est un phénomène qui se reproduit identique à lui-même dans le temps ou l’espace. On peut alors définir une période temporelle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ou une période spatiale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λ</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appelée également longueur d’onde.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un milieu de propagation donné, une onde progressive sinusoïdale est un exemple de phénomène périodique caractérisé par une double périodicité spatio-temporelle. La longueur d’onde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λ</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correspond donc à la distance parcourue par l’onde durant une période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deux périodes sont alors reliées par la relation </w:t>
      </w:r>
      <m:oMath>
        <m:r>
          <w:rPr>
            <w:rFonts w:ascii="Cambria Math" w:cs="Cambria Math" w:eastAsia="Cambria Math" w:hAnsi="Cambria Math"/>
            <w:b w:val="0"/>
            <w:i w:val="0"/>
            <w:smallCaps w:val="0"/>
            <w:strike w:val="0"/>
            <w:color w:val="000000"/>
            <w:sz w:val="20"/>
            <w:szCs w:val="20"/>
            <w:u w:val="none"/>
            <w:shd w:fill="auto" w:val="clear"/>
            <w:vertAlign w:val="baseline"/>
          </w:rPr>
          <m:t xml:space="preserve"> </m:t>
        </m:r>
        <m:r>
          <w:rPr>
            <w:rFonts w:ascii="Arial" w:cs="Arial" w:eastAsia="Arial" w:hAnsi="Arial"/>
            <w:b w:val="0"/>
            <w:i w:val="0"/>
            <w:smallCaps w:val="0"/>
            <w:strike w:val="0"/>
            <w:color w:val="000000"/>
            <w:sz w:val="20"/>
            <w:szCs w:val="20"/>
            <w:u w:val="none"/>
            <w:shd w:fill="auto" w:val="clear"/>
            <w:vertAlign w:val="baseline"/>
          </w:rPr>
          <m:t xml:space="preserve">=</m:t>
        </m:r>
        <m:r>
          <w:rPr>
            <w:rFonts w:ascii="Cambria Math" w:cs="Cambria Math" w:eastAsia="Cambria Math" w:hAnsi="Cambria Math"/>
            <w:b w:val="0"/>
            <w:i w:val="0"/>
            <w:smallCaps w:val="0"/>
            <w:strike w:val="0"/>
            <w:color w:val="000000"/>
            <w:sz w:val="20"/>
            <w:szCs w:val="20"/>
            <w:u w:val="none"/>
            <w:shd w:fill="auto" w:val="clear"/>
            <w:vertAlign w:val="baseline"/>
          </w:rPr>
          <m:t xml:space="preserve"> </m:t>
        </m:r>
        <m:r>
          <w:rPr>
            <w:rFonts w:ascii="Arial" w:cs="Arial" w:eastAsia="Arial" w:hAnsi="Arial"/>
            <w:b w:val="0"/>
            <w:i w:val="1"/>
            <w:smallCaps w:val="0"/>
            <w:strike w:val="0"/>
            <w:color w:val="000000"/>
            <w:sz w:val="20"/>
            <w:szCs w:val="20"/>
            <w:u w:val="none"/>
            <w:shd w:fill="auto" w:val="clear"/>
            <w:vertAlign w:val="baseline"/>
          </w:rPr>
          <m:t xml:space="preserve">v</m:t>
        </m:r>
        <m:r>
          <w:rPr>
            <w:rFonts w:ascii="Cambria Math" w:cs="Cambria Math" w:eastAsia="Cambria Math" w:hAnsi="Cambria Math"/>
            <w:b w:val="0"/>
            <w:i w:val="0"/>
            <w:smallCaps w:val="0"/>
            <w:strike w:val="0"/>
            <w:color w:val="000000"/>
            <w:sz w:val="20"/>
            <w:szCs w:val="20"/>
            <w:u w:val="none"/>
            <w:shd w:fill="auto" w:val="clear"/>
            <w:vertAlign w:val="baseline"/>
          </w:rPr>
          <m:t xml:space="preserve"> </m:t>
        </m:r>
        <m:r>
          <w:rPr>
            <w:rFonts w:ascii="Cambria Math" w:cs="Cambria Math" w:eastAsia="Cambria Math" w:hAnsi="Cambria Math"/>
            <w:b w:val="0"/>
            <w:i w:val="0"/>
            <w:smallCaps w:val="0"/>
            <w:strike w:val="0"/>
            <w:color w:val="000000"/>
            <w:sz w:val="20"/>
            <w:szCs w:val="20"/>
            <w:u w:val="none"/>
            <w:shd w:fill="auto" w:val="clear"/>
            <w:vertAlign w:val="baseline"/>
          </w:rPr>
          <m:t>∙</m:t>
        </m:r>
        <m:r>
          <w:rPr>
            <w:rFonts w:ascii="Cambria Math" w:cs="Cambria Math" w:eastAsia="Cambria Math" w:hAnsi="Cambria Math"/>
            <w:b w:val="0"/>
            <w:i w:val="0"/>
            <w:smallCaps w:val="0"/>
            <w:strike w:val="0"/>
            <w:color w:val="000000"/>
            <w:sz w:val="20"/>
            <w:szCs w:val="20"/>
            <w:u w:val="none"/>
            <w:shd w:fill="auto" w:val="clear"/>
            <w:vertAlign w:val="baseline"/>
          </w:rPr>
          <m:t xml:space="preserve"> </m:t>
        </m:r>
        <m:r>
          <w:rPr>
            <w:rFonts w:ascii="Arial" w:cs="Arial" w:eastAsia="Arial" w:hAnsi="Arial"/>
            <w:b w:val="0"/>
            <w:i w:val="1"/>
            <w:smallCaps w:val="0"/>
            <w:strike w:val="0"/>
            <w:color w:val="000000"/>
            <w:sz w:val="20"/>
            <w:szCs w:val="20"/>
            <w:u w:val="none"/>
            <w:shd w:fill="auto" w:val="clear"/>
            <w:vertAlign w:val="baseline"/>
          </w:rPr>
          <m:t xml:space="preserve">T</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 célérité de l’onde.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51">
      <w:pPr>
        <w:rPr>
          <w:b w:val="1"/>
          <w:color w:val="000000"/>
          <w:u w:val="single"/>
        </w:rPr>
      </w:pPr>
      <w:r w:rsidDel="00000000" w:rsidR="00000000" w:rsidRPr="00000000">
        <w:rPr>
          <w:rtl w:val="0"/>
        </w:rPr>
      </w:r>
    </w:p>
    <w:p w:rsidR="00000000" w:rsidDel="00000000" w:rsidP="00000000" w:rsidRDefault="00000000" w:rsidRPr="00000000" w14:paraId="00000052">
      <w:pPr>
        <w:rPr>
          <w:b w:val="1"/>
          <w:color w:val="ff0000"/>
        </w:rPr>
      </w:pPr>
      <w:r w:rsidDel="00000000" w:rsidR="00000000" w:rsidRPr="00000000">
        <w:rPr>
          <w:b w:val="1"/>
          <w:color w:val="ff0000"/>
          <w:highlight w:val="yellow"/>
          <w:rtl w:val="0"/>
        </w:rPr>
        <w:t xml:space="preserve">Je n’ai jamais fait ce TP : J’ai fais des recherches sur le télémètre et d’autres TP en ligne pour répondre. N’hésitez pas à compléter les valeurs si vous avez fait les expériences </w:t>
      </w: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b w:val="1"/>
          <w:color w:val="000000"/>
          <w:rtl w:val="0"/>
        </w:rPr>
        <w:t xml:space="preserve"> COURAGE !!</w:t>
      </w:r>
      <w:r w:rsidDel="00000000" w:rsidR="00000000" w:rsidRPr="00000000">
        <w:rPr>
          <w:rtl w:val="0"/>
        </w:rPr>
      </w:r>
    </w:p>
    <w:p w:rsidR="00000000" w:rsidDel="00000000" w:rsidP="00000000" w:rsidRDefault="00000000" w:rsidRPr="00000000" w14:paraId="00000053">
      <w:pPr>
        <w:rPr>
          <w:b w:val="1"/>
          <w:color w:val="000000"/>
          <w:u w:val="singl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Paramétrage du télémètre à ultrasons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 minutes conseillées)</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Quelle grandeur physique doit être intégrée à un télémètre pour permettre le calcul de la distance ? Expliquer.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Vitesse : elle dépend considérablement du milieu (compressibilité, masse volumique) ainsi que des conditions (pression, température) et à un degré moindre de la fréquence (dispersion).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V = d/ t</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5A">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5C">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5D">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tcBorders>
            <w:vAlign w:val="center"/>
          </w:tcPr>
          <w:p w:rsidR="00000000" w:rsidDel="00000000" w:rsidP="00000000" w:rsidRDefault="00000000" w:rsidRPr="00000000" w14:paraId="0000005F">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L’émetteur d’ultrasons est réglé pour émettre un signal déjà visualisable sur le logiciel d’acquisition.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 protocole permettant de mesurer avec précision les valeurs de la période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et de la longueur d’onde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 signal sonore.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single"/>
          <w:shd w:fill="auto" w:val="clear"/>
          <w:vertAlign w:val="baseline"/>
        </w:rPr>
      </w:pP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Protocole pour la période :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https://youtu.be/DI5ioNtI2uI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Protocole pour la longeur d’onde</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On connecte les deux récepteurs à l’oscilloscope. On les place en face de l’émetteur de manière à observer deux signaux en phase sur l’oscilloscope. On recule un récepteur pour mesurer le déplacement minimum qui permet de retrouver les courbes en phase : c’est la longueur d’onde. Pour plus de précision, on mesure dix longueurs d’onde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69">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6B">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6C">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 ou en cas de difficulté</w:t>
            </w:r>
          </w:p>
        </w:tc>
        <w:tc>
          <w:tcPr>
            <w:tcBorders>
              <w:top w:color="000000" w:space="0" w:sz="6" w:val="single"/>
            </w:tcBorders>
            <w:vAlign w:val="center"/>
          </w:tcPr>
          <w:p w:rsidR="00000000" w:rsidDel="00000000" w:rsidP="00000000" w:rsidRDefault="00000000" w:rsidRPr="00000000" w14:paraId="0000006E">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Mettre en œuvre le protocole et noter les valeurs obtenues.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valeur de l’expérience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valeur de l’expérience</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rHeight w:val="2576" w:hRule="atLeast"/>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3">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75">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76">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obtenus ou en cas de difficulté</w:t>
            </w:r>
          </w:p>
        </w:tc>
        <w:tc>
          <w:tcPr>
            <w:tcBorders>
              <w:top w:color="000000" w:space="0" w:sz="6" w:val="single"/>
            </w:tcBorders>
            <w:vAlign w:val="center"/>
          </w:tcPr>
          <w:p w:rsidR="00000000" w:rsidDel="00000000" w:rsidP="00000000" w:rsidRDefault="00000000" w:rsidRPr="00000000" w14:paraId="00000078">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En déduire la valeur de la grandeur évoquée dans la première question, à la température de la salle.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m:oMath>
        <m:r>
          <w:rPr>
            <w:rFonts w:ascii="Cambria Math" w:cs="Cambria Math" w:eastAsia="Cambria Math" w:hAnsi="Cambria Math"/>
            <w:b w:val="0"/>
            <w:i w:val="0"/>
            <w:smallCaps w:val="0"/>
            <w:strike w:val="0"/>
            <w:color w:val="ff0000"/>
            <w:sz w:val="20"/>
            <w:szCs w:val="20"/>
            <w:u w:val="none"/>
            <w:shd w:fill="auto" w:val="clear"/>
            <w:vertAlign w:val="baseline"/>
          </w:rPr>
          <m:t xml:space="preserve"> </m:t>
        </m:r>
        <m:r>
          <w:rPr>
            <w:rFonts w:ascii="Arial" w:cs="Arial" w:eastAsia="Arial" w:hAnsi="Arial"/>
            <w:b w:val="0"/>
            <w:i w:val="0"/>
            <w:smallCaps w:val="0"/>
            <w:strike w:val="0"/>
            <w:color w:val="ff0000"/>
            <w:sz w:val="20"/>
            <w:szCs w:val="20"/>
            <w:u w:val="none"/>
            <w:shd w:fill="auto" w:val="clear"/>
            <w:vertAlign w:val="baseline"/>
          </w:rPr>
          <m:t xml:space="preserve">=</m:t>
        </m:r>
        <m:r>
          <w:rPr>
            <w:rFonts w:ascii="Cambria Math" w:cs="Cambria Math" w:eastAsia="Cambria Math" w:hAnsi="Cambria Math"/>
            <w:b w:val="0"/>
            <w:i w:val="0"/>
            <w:smallCaps w:val="0"/>
            <w:strike w:val="0"/>
            <w:color w:val="ff0000"/>
            <w:sz w:val="20"/>
            <w:szCs w:val="20"/>
            <w:u w:val="none"/>
            <w:shd w:fill="auto" w:val="clear"/>
            <w:vertAlign w:val="baseline"/>
          </w:rPr>
          <m:t xml:space="preserve"> </m:t>
        </m:r>
        <m:r>
          <w:rPr>
            <w:rFonts w:ascii="Arial" w:cs="Arial" w:eastAsia="Arial" w:hAnsi="Arial"/>
            <w:b w:val="0"/>
            <w:i w:val="1"/>
            <w:smallCaps w:val="0"/>
            <w:strike w:val="0"/>
            <w:color w:val="ff0000"/>
            <w:sz w:val="20"/>
            <w:szCs w:val="20"/>
            <w:u w:val="none"/>
            <w:shd w:fill="auto" w:val="clear"/>
            <w:vertAlign w:val="baseline"/>
          </w:rPr>
          <m:t xml:space="preserve">v</m:t>
        </m:r>
        <m:r>
          <w:rPr>
            <w:rFonts w:ascii="Cambria Math" w:cs="Cambria Math" w:eastAsia="Cambria Math" w:hAnsi="Cambria Math"/>
            <w:b w:val="0"/>
            <w:i w:val="0"/>
            <w:smallCaps w:val="0"/>
            <w:strike w:val="0"/>
            <w:color w:val="ff0000"/>
            <w:sz w:val="20"/>
            <w:szCs w:val="20"/>
            <w:u w:val="none"/>
            <w:shd w:fill="auto" w:val="clear"/>
            <w:vertAlign w:val="baseline"/>
          </w:rPr>
          <m:t xml:space="preserve"> </m:t>
        </m:r>
        <m:r>
          <w:rPr>
            <w:rFonts w:ascii="Cambria Math" w:cs="Cambria Math" w:eastAsia="Cambria Math" w:hAnsi="Cambria Math"/>
            <w:b w:val="0"/>
            <w:i w:val="0"/>
            <w:smallCaps w:val="0"/>
            <w:strike w:val="0"/>
            <w:color w:val="ff0000"/>
            <w:sz w:val="20"/>
            <w:szCs w:val="20"/>
            <w:u w:val="none"/>
            <w:shd w:fill="auto" w:val="clear"/>
            <w:vertAlign w:val="baseline"/>
          </w:rPr>
          <m:t>∙</m:t>
        </m:r>
        <m:r>
          <w:rPr>
            <w:rFonts w:ascii="Cambria Math" w:cs="Cambria Math" w:eastAsia="Cambria Math" w:hAnsi="Cambria Math"/>
            <w:b w:val="0"/>
            <w:i w:val="0"/>
            <w:smallCaps w:val="0"/>
            <w:strike w:val="0"/>
            <w:color w:val="ff0000"/>
            <w:sz w:val="20"/>
            <w:szCs w:val="20"/>
            <w:u w:val="none"/>
            <w:shd w:fill="auto" w:val="clear"/>
            <w:vertAlign w:val="baseline"/>
          </w:rPr>
          <m:t xml:space="preserve"> </m:t>
        </m:r>
        <m:r>
          <w:rPr>
            <w:rFonts w:ascii="Arial" w:cs="Arial" w:eastAsia="Arial" w:hAnsi="Arial"/>
            <w:b w:val="0"/>
            <w:i w:val="1"/>
            <w:smallCaps w:val="0"/>
            <w:strike w:val="0"/>
            <w:color w:val="ff0000"/>
            <w:sz w:val="20"/>
            <w:szCs w:val="20"/>
            <w:u w:val="none"/>
            <w:shd w:fill="auto" w:val="clear"/>
            <w:vertAlign w:val="baseline"/>
          </w:rPr>
          <m:t xml:space="preserve">T</m:t>
        </m:r>
      </m:oMath>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d’où v = </w:t>
      </w:r>
      <m:oMath>
        <m:r>
          <w:rPr>
            <w:rFonts w:ascii="Cambria Math" w:cs="Cambria Math" w:eastAsia="Cambria Math" w:hAnsi="Cambria Math"/>
            <w:b w:val="0"/>
            <w:i w:val="0"/>
            <w:smallCaps w:val="0"/>
            <w:strike w:val="0"/>
            <w:color w:val="ff0000"/>
            <w:sz w:val="20"/>
            <w:szCs w:val="20"/>
            <w:u w:val="none"/>
            <w:shd w:fill="auto" w:val="clear"/>
            <w:vertAlign w:val="baseline"/>
          </w:rPr>
          <m:t xml:space="preserve">/T</m:t>
        </m:r>
      </m:oMath>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remplacer </w:t>
      </w:r>
      <m:oMath>
        <m:r>
          <w:rPr>
            <w:rFonts w:ascii="Cambria Math" w:cs="Cambria Math" w:eastAsia="Cambria Math" w:hAnsi="Cambria Math"/>
            <w:b w:val="0"/>
            <w:i w:val="0"/>
            <w:smallCaps w:val="0"/>
            <w:strike w:val="0"/>
            <w:color w:val="ff0000"/>
            <w:sz w:val="20"/>
            <w:szCs w:val="20"/>
            <w:u w:val="none"/>
            <w:shd w:fill="auto" w:val="clear"/>
            <w:vertAlign w:val="baseline"/>
          </w:rPr>
          <m:t xml:space="preserve"> et T avec les valeurs de l'expérience</m:t>
        </m:r>
      </m:oMath>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Utilisation du télémètre à ultrasons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minutes conseillées)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À l’aide des informations mises à disposition et du matériel disponible, mettre en œuvre un montage simplifié d’un télémètre à ultrasons permettant de mesurer la hauteur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table. Il est conseillé d’utiliser la potence et les pinces de fixation pour maintenir en place l’émetteur et le récepteur.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Réaliser les mesures puis les calculs nécessaires pour déterminer la valeur 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L’émetteur d’ultrasons doit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être alimenté, réglé sur la fréquence d’émission offrant une onde d’amplitude maximale et en position continue. • L’émetteur d’ultrasons doit être branché sur la voie 1 de l’oscilloscope. • L’oscilloscope doit être allumé, préréglé pour observer plusieurs périodes et le déclenchement réglé sur la voie 1. • Les voies 1 et 2 de l’oscilloscope doivent être allumées.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Matériel dispo : un émetteur d’ultrasons, son alimentation et ses fils de connexion • un récepteur d’ultrasons et ses fils de connexion • un oscilloscope • une potence et des pinces de fixation pour la réalisation du télémètre. • un mètre ruban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Un schéma du fonctionnement du télémètre si ça peut vous aider à comprendre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2414905" cy="1899285"/>
            <wp:effectExtent b="0" l="0" r="0" t="0"/>
            <wp:wrapTopAndBottom distB="0" distT="0"/>
            <wp:docPr id="2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414905" cy="1899285"/>
                    </a:xfrm>
                    <a:prstGeom prst="rect"/>
                    <a:ln/>
                  </pic:spPr>
                </pic:pic>
              </a:graphicData>
            </a:graphic>
          </wp:anchor>
        </w:drawing>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8A">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n°3</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8C">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8D">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obtenus ou en cas de difficulté</w:t>
            </w:r>
          </w:p>
        </w:tc>
        <w:tc>
          <w:tcPr>
            <w:tcBorders>
              <w:top w:color="000000" w:space="0" w:sz="6" w:val="single"/>
            </w:tcBorders>
            <w:vAlign w:val="center"/>
          </w:tcPr>
          <w:p w:rsidR="00000000" w:rsidDel="00000000" w:rsidP="00000000" w:rsidRDefault="00000000" w:rsidRPr="00000000" w14:paraId="0000008F">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Analyse des résultats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Déterminer la valeur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avec le mètre ruban. Discuter la cohérence de cette mesure avec celle effectuée dans la partie précédente.</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Si il y a un écart entre la valeur h du ruban et celle trouvée avec le calcul précédent qui fait intervenir les valeurs trouvée lors de l’experience : alors c’est lié aux incertitudes de mesures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95">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97">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98">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tcBorders>
            <w:vAlign w:val="center"/>
          </w:tcPr>
          <w:p w:rsidR="00000000" w:rsidDel="00000000" w:rsidP="00000000" w:rsidRDefault="00000000" w:rsidRPr="00000000" w14:paraId="0000009A">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9B">
      <w:pPr>
        <w:spacing w:line="240" w:lineRule="auto"/>
        <w:jc w:val="left"/>
        <w:rPr/>
      </w:pPr>
      <w:r w:rsidDel="00000000" w:rsidR="00000000" w:rsidRPr="00000000">
        <w:rPr>
          <w:rtl w:val="0"/>
        </w:rPr>
      </w:r>
    </w:p>
    <w:p w:rsidR="00000000" w:rsidDel="00000000" w:rsidP="00000000" w:rsidRDefault="00000000" w:rsidRPr="00000000" w14:paraId="0000009C">
      <w:pPr>
        <w:spacing w:line="240" w:lineRule="auto"/>
        <w:jc w:val="left"/>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Tester le télémètre étudié sur une des dimensions de la salle. </w:t>
      </w:r>
    </w:p>
    <w:p w:rsidR="00000000" w:rsidDel="00000000" w:rsidP="00000000" w:rsidRDefault="00000000" w:rsidRPr="00000000" w14:paraId="0000009E">
      <w:pPr>
        <w:spacing w:line="240" w:lineRule="auto"/>
        <w:jc w:val="left"/>
        <w:rPr/>
      </w:pPr>
      <w:r w:rsidDel="00000000" w:rsidR="00000000" w:rsidRPr="00000000">
        <w:rPr>
          <w:rtl w:val="0"/>
        </w:rPr>
      </w:r>
    </w:p>
    <w:p w:rsidR="00000000" w:rsidDel="00000000" w:rsidP="00000000" w:rsidRDefault="00000000" w:rsidRPr="00000000" w14:paraId="0000009F">
      <w:pPr>
        <w:spacing w:line="240" w:lineRule="auto"/>
        <w:jc w:val="left"/>
        <w:rPr/>
      </w:pPr>
      <w:r w:rsidDel="00000000" w:rsidR="00000000" w:rsidRPr="00000000">
        <w:rPr>
          <w:rtl w:val="0"/>
        </w:rPr>
        <w:t xml:space="preserve">Votre télémètre vous semble-t-il adapté à la mesure </w:t>
      </w:r>
      <w:r w:rsidDel="00000000" w:rsidR="00000000" w:rsidRPr="00000000">
        <w:rPr>
          <w:color w:val="000000"/>
          <w:rtl w:val="0"/>
        </w:rPr>
        <w:t xml:space="preserve">des dimensions</w:t>
      </w:r>
      <w:r w:rsidDel="00000000" w:rsidR="00000000" w:rsidRPr="00000000">
        <w:rPr>
          <w:rtl w:val="0"/>
        </w:rPr>
        <w:t xml:space="preserve"> de la salle ? Justifier.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Dépend du résultat de la hauteur obtenue au cours de l’expérience.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(PS : j’aurais bien mis les valeurs mais on a jamais fait ce TP en classe)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 Cela passerait-il un problème pour le déplacement d’un robot comme celui évoqué dans le contexte de la situation d’évaluation?</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(encore une fois ça dépend des valeurs obtenu lors de la réalisation de l’expérience, je n’ai jamais fait ce TP donc je ne </w:t>
      </w:r>
      <w:r w:rsidDel="00000000" w:rsidR="00000000" w:rsidRPr="00000000">
        <w:rPr>
          <w:color w:val="ff0000"/>
          <w:rtl w:val="0"/>
        </w:rPr>
        <w:t xml:space="preserve">peux</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pas connaître les valeur </w:t>
      </w:r>
      <w:sdt>
        <w:sdtPr>
          <w:tag w:val="goog_rdk_0"/>
        </w:sdtPr>
        <w:sdtContent>
          <w:r w:rsidDel="00000000" w:rsidR="00000000" w:rsidRPr="00000000">
            <w:rPr>
              <w:rFonts w:ascii="Arial Unicode MS" w:cs="Arial Unicode MS" w:eastAsia="Arial Unicode MS" w:hAnsi="Arial Unicode MS"/>
              <w:b w:val="0"/>
              <w:i w:val="0"/>
              <w:smallCaps w:val="0"/>
              <w:strike w:val="0"/>
              <w:color w:val="ff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spacing w:line="240" w:lineRule="auto"/>
        <w:jc w:val="left"/>
        <w:rPr/>
      </w:pPr>
      <w:r w:rsidDel="00000000" w:rsidR="00000000" w:rsidRPr="00000000">
        <w:rPr>
          <w:rFonts w:ascii="Arial-BoldMT" w:cs="Arial-BoldMT" w:eastAsia="Arial-BoldMT" w:hAnsi="Arial-BoldMT"/>
          <w:b w:val="1"/>
          <w:color w:val="000000"/>
          <w:rtl w:val="0"/>
        </w:rPr>
        <w:t xml:space="preserve">Défaire le montage et ranger la paillasse avant de quitter la salle.</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sectPr>
      <w:headerReference r:id="rId10" w:type="default"/>
      <w:footerReference r:id="rId11" w:type="default"/>
      <w:pgSz w:h="16838" w:w="11906" w:orient="portrait"/>
      <w:pgMar w:bottom="851" w:top="851"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al-BoldMT"/>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DÉPLACEMENT D’UN ROBOT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rsid w:val="00D9409B"/>
    <w:pPr>
      <w:numPr>
        <w:numId w:val="1"/>
      </w:numPr>
      <w:pBdr>
        <w:top w:color="auto" w:space="1" w:sz="12" w:val="single"/>
        <w:left w:color="auto" w:space="1" w:sz="12" w:val="single"/>
        <w:bottom w:color="auto" w:space="1" w:sz="12" w:val="single"/>
        <w:right w:color="auto" w:space="1" w:sz="12" w:val="single"/>
      </w:pBdr>
      <w:shd w:color="auto" w:fill="ffffff" w:val="pct15"/>
      <w:tabs>
        <w:tab w:val="left" w:pos="-1985"/>
        <w:tab w:val="left" w:pos="567"/>
      </w:tabs>
      <w:autoSpaceDE w:val="0"/>
      <w:autoSpaceDN w:val="0"/>
      <w:jc w:val="center"/>
      <w:outlineLvl w:val="0"/>
    </w:pPr>
    <w:rPr>
      <w:b w:val="1"/>
      <w:bCs w:val="1"/>
    </w:rPr>
  </w:style>
  <w:style w:type="paragraph" w:styleId="Titre2">
    <w:name w:val="heading 2"/>
    <w:basedOn w:val="Normal"/>
    <w:next w:val="Normal"/>
    <w:link w:val="Titre2Car"/>
    <w:rsid w:val="00207C64"/>
    <w:pPr>
      <w:keepNext w:val="1"/>
      <w:numPr>
        <w:ilvl w:val="1"/>
        <w:numId w:val="1"/>
      </w:numPr>
      <w:outlineLvl w:val="1"/>
    </w:pPr>
    <w:rPr>
      <w:b w:val="1"/>
    </w:rPr>
  </w:style>
  <w:style w:type="paragraph" w:styleId="Titre3">
    <w:name w:val="heading 3"/>
    <w:basedOn w:val="Normal"/>
    <w:next w:val="Titre4"/>
    <w:rsid w:val="00125FB0"/>
    <w:pPr>
      <w:keepNext w:val="1"/>
      <w:numPr>
        <w:ilvl w:val="2"/>
        <w:numId w:val="1"/>
      </w:numPr>
      <w:outlineLvl w:val="2"/>
    </w:pPr>
  </w:style>
  <w:style w:type="paragraph" w:styleId="Titre4">
    <w:name w:val="heading 4"/>
    <w:basedOn w:val="Normal"/>
    <w:next w:val="Normal"/>
    <w:autoRedefine w:val="1"/>
    <w:rsid w:val="00354EBD"/>
    <w:pPr>
      <w:numPr>
        <w:ilvl w:val="3"/>
        <w:numId w:val="1"/>
      </w:numPr>
      <w:outlineLvl w:val="3"/>
    </w:pPr>
  </w:style>
  <w:style w:type="paragraph" w:styleId="Titre5">
    <w:name w:val="heading 5"/>
    <w:basedOn w:val="Normal"/>
    <w:next w:val="Normal"/>
    <w:rsid w:val="001D6C11"/>
    <w:pPr>
      <w:keepNext w:val="1"/>
      <w:tabs>
        <w:tab w:val="left" w:pos="-1985"/>
      </w:tabs>
      <w:autoSpaceDE w:val="0"/>
      <w:autoSpaceDN w:val="0"/>
      <w:outlineLvl w:val="4"/>
    </w:pPr>
    <w:rPr>
      <w:rFonts w:ascii="Garamond" w:hAnsi="Garamond"/>
      <w:b w:val="1"/>
      <w:bCs w:val="1"/>
    </w:rPr>
  </w:style>
  <w:style w:type="paragraph" w:styleId="Titre6">
    <w:name w:val="heading 6"/>
    <w:basedOn w:val="Normal"/>
    <w:next w:val="Normal"/>
    <w:rsid w:val="001D6C11"/>
    <w:pPr>
      <w:keepNext w:val="1"/>
      <w:ind w:right="-2472"/>
      <w:outlineLvl w:val="5"/>
    </w:pPr>
    <w:rPr>
      <w:i w:val="1"/>
      <w:color w:val="ff0000"/>
    </w:rPr>
  </w:style>
  <w:style w:type="paragraph" w:styleId="Titre7">
    <w:name w:val="heading 7"/>
    <w:basedOn w:val="Normal"/>
    <w:next w:val="Normal"/>
    <w:rsid w:val="001D6C11"/>
    <w:pPr>
      <w:keepNext w:val="1"/>
      <w:tabs>
        <w:tab w:val="left" w:pos="-1985"/>
      </w:tabs>
      <w:autoSpaceDE w:val="0"/>
      <w:autoSpaceDN w:val="0"/>
      <w:jc w:val="center"/>
      <w:outlineLvl w:val="6"/>
    </w:pPr>
    <w:rPr>
      <w:b w:val="1"/>
      <w:bCs w:val="1"/>
      <w:sz w:val="28"/>
      <w:szCs w:val="28"/>
    </w:rPr>
  </w:style>
  <w:style w:type="paragraph" w:styleId="Titre8">
    <w:name w:val="heading 8"/>
    <w:basedOn w:val="Normal"/>
    <w:next w:val="Normal"/>
    <w:rsid w:val="001D6C11"/>
    <w:pPr>
      <w:keepNext w:val="1"/>
      <w:tabs>
        <w:tab w:val="left" w:pos="-1985"/>
      </w:tabs>
      <w:autoSpaceDE w:val="0"/>
      <w:autoSpaceDN w:val="0"/>
      <w:ind w:left="-567" w:right="-483"/>
      <w:outlineLvl w:val="7"/>
    </w:pPr>
    <w:rPr>
      <w:b w:val="1"/>
      <w:bCs w:val="1"/>
      <w:sz w:val="28"/>
      <w:szCs w:val="28"/>
    </w:rPr>
  </w:style>
  <w:style w:type="paragraph" w:styleId="Titre9">
    <w:name w:val="heading 9"/>
    <w:basedOn w:val="Normal"/>
    <w:next w:val="Normal"/>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framePr w:lines="0" w:hSpace="141" w:wrap="around" w:hAnchor="margin" w:vAnchor="text" w:xAlign="center" w:y="98"/>
      <w:jc w:val="center"/>
    </w:pPr>
    <w:rPr>
      <w:rFonts w:eastAsia="Arial Unicode MS"/>
      <w:b w:val="1"/>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styleId="remarque" w:customStyle="1">
    <w:name w:val="remarque"/>
    <w:basedOn w:val="Normal"/>
    <w:rsid w:val="001D6C11"/>
    <w:pPr>
      <w:tabs>
        <w:tab w:val="left" w:pos="-1985"/>
      </w:tabs>
      <w:autoSpaceDE w:val="0"/>
      <w:autoSpaceDN w:val="0"/>
    </w:pPr>
    <w:rPr>
      <w:b w:val="1"/>
      <w:bCs w:val="1"/>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lines="0" w:hSpace="142" w:wrap="auto" w:hAnchor="text" w:vAnchor="text" w:y="1"/>
      <w:tabs>
        <w:tab w:val="left" w:pos="-1985"/>
        <w:tab w:val="center" w:pos="4536"/>
        <w:tab w:val="right" w:pos="9072"/>
      </w:tabs>
      <w:autoSpaceDE w:val="0"/>
      <w:autoSpaceDN w:val="0"/>
    </w:pPr>
  </w:style>
  <w:style w:type="paragraph" w:styleId="Notedebasdepage">
    <w:name w:val="footnote text"/>
    <w:basedOn w:val="Normal"/>
    <w:semiHidden w:val="1"/>
    <w:rsid w:val="001D6C11"/>
  </w:style>
  <w:style w:type="paragraph" w:styleId="Sous-titre">
    <w:name w:val="Subtitle"/>
    <w:basedOn w:val="Normal"/>
    <w:rsid w:val="001D6C11"/>
    <w:pPr>
      <w:jc w:val="center"/>
    </w:pPr>
    <w:rPr>
      <w:b w:val="1"/>
      <w:i w:val="1"/>
      <w:sz w:val="28"/>
    </w:rPr>
  </w:style>
  <w:style w:type="character" w:styleId="Marquedecommentaire">
    <w:name w:val="annotation reference"/>
    <w:semiHidden w:val="1"/>
    <w:rsid w:val="001D6C11"/>
    <w:rPr>
      <w:sz w:val="16"/>
      <w:szCs w:val="16"/>
    </w:rPr>
  </w:style>
  <w:style w:type="paragraph" w:styleId="Commentaire">
    <w:name w:val="annotation text"/>
    <w:basedOn w:val="Normal"/>
    <w:semiHidden w:val="1"/>
    <w:rsid w:val="001D6C11"/>
  </w:style>
  <w:style w:type="paragraph" w:styleId="Objetducommentaire">
    <w:name w:val="annotation subject"/>
    <w:basedOn w:val="Commentaire"/>
    <w:next w:val="Commentaire"/>
    <w:semiHidden w:val="1"/>
    <w:rsid w:val="001D6C11"/>
    <w:rPr>
      <w:b w:val="1"/>
      <w:bCs w:val="1"/>
    </w:rPr>
  </w:style>
  <w:style w:type="paragraph" w:styleId="Textedebulles">
    <w:name w:val="Balloon Text"/>
    <w:basedOn w:val="Normal"/>
    <w:rsid w:val="001D6C11"/>
    <w:rPr>
      <w:rFonts w:ascii="Tahoma" w:cs="Tahoma" w:hAnsi="Tahoma"/>
      <w:sz w:val="16"/>
      <w:szCs w:val="16"/>
    </w:r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M1">
    <w:name w:val="toc 1"/>
    <w:aliases w:val="ECEsomm1"/>
    <w:basedOn w:val="ECEcorps"/>
    <w:next w:val="Normal"/>
    <w:uiPriority w:val="39"/>
    <w:qFormat w:val="1"/>
    <w:rsid w:val="00CA6FD0"/>
    <w:pPr>
      <w:tabs>
        <w:tab w:val="left" w:pos="284"/>
        <w:tab w:val="right" w:leader="dot" w:pos="9628"/>
      </w:tabs>
    </w:pPr>
  </w:style>
  <w:style w:type="paragraph" w:styleId="TM2">
    <w:name w:val="toc 2"/>
    <w:aliases w:val="ECEsomm2"/>
    <w:basedOn w:val="Normal"/>
    <w:next w:val="Normal"/>
    <w:uiPriority w:val="39"/>
    <w:unhideWhenUsed w:val="1"/>
    <w:qFormat w:val="1"/>
    <w:rsid w:val="00910B6F"/>
    <w:pPr>
      <w:tabs>
        <w:tab w:val="right" w:leader="dot" w:pos="9628"/>
      </w:tabs>
      <w:spacing w:after="100" w:line="276" w:lineRule="auto"/>
      <w:ind w:left="221"/>
    </w:pPr>
    <w:rPr>
      <w:noProof w:val="1"/>
      <w:color w:val="auto"/>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rsid w:val="00B97EB7"/>
    <w:pPr>
      <w:shd w:color="auto" w:fill="eeece1" w:val="clear"/>
      <w:jc w:val="center"/>
    </w:pPr>
    <w:rPr>
      <w:rFonts w:cs="Times New Roman"/>
      <w:b w:val="1"/>
      <w:bCs w:val="1"/>
    </w:rPr>
  </w:style>
  <w:style w:type="paragraph" w:styleId="Default" w:customStyle="1">
    <w:name w:val="Default"/>
    <w:uiPriority w:val="99"/>
    <w:rsid w:val="00BF76AC"/>
    <w:pPr>
      <w:autoSpaceDE w:val="0"/>
      <w:autoSpaceDN w:val="0"/>
      <w:adjustRightInd w:val="0"/>
    </w:pPr>
    <w:rPr>
      <w:rFonts w:ascii="Calibri" w:cs="Calibri" w:eastAsia="MS ??" w:hAnsi="Calibri"/>
      <w:color w:val="000000"/>
      <w:sz w:val="24"/>
      <w:szCs w:val="24"/>
    </w:rPr>
  </w:style>
  <w:style w:type="character" w:styleId="Titre2Car" w:customStyle="1">
    <w:name w:val="Titre 2 Car"/>
    <w:link w:val="Titre2"/>
    <w:rsid w:val="00BF76AC"/>
    <w:rPr>
      <w:rFonts w:ascii="Arial" w:cs="Arial" w:hAnsi="Arial"/>
      <w:b w:val="1"/>
      <w:color w:val="000000"/>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pPr>
      <w:autoSpaceDE w:val="0"/>
      <w:autoSpaceDN w:val="0"/>
      <w:adjustRightInd w:val="0"/>
    </w:pPr>
    <w:rPr>
      <w:b w:val="1"/>
      <w:u w:val="single"/>
    </w:rPr>
  </w:style>
  <w:style w:type="paragraph" w:styleId="ECEfiche" w:customStyle="1">
    <w:name w:val="ECEfiche"/>
    <w:basedOn w:val="Titre1"/>
    <w:next w:val="ECEcorps"/>
    <w:qFormat w:val="1"/>
    <w:rsid w:val="00A12834"/>
    <w:pPr>
      <w:numPr>
        <w:numId w:val="0"/>
      </w:numPr>
    </w:pPr>
    <w:rPr>
      <w:b w:val="0"/>
    </w:rPr>
  </w:style>
  <w:style w:type="paragraph" w:styleId="ECErponse" w:customStyle="1">
    <w:name w:val="ECEréponse"/>
    <w:basedOn w:val="ECEcorps"/>
    <w:qFormat w:val="1"/>
    <w:rsid w:val="00C22A4C"/>
    <w:pPr>
      <w:autoSpaceDE w:val="0"/>
      <w:autoSpaceDN w:val="0"/>
      <w:adjustRightInd w:val="0"/>
      <w:spacing w:before="240" w:line="240" w:lineRule="auto"/>
    </w:pPr>
    <w:rPr>
      <w:bCs w:val="1"/>
      <w:szCs w:val="22"/>
    </w:rPr>
  </w:style>
  <w:style w:type="paragraph" w:styleId="ECEpartie" w:customStyle="1">
    <w:name w:val="ECEpartie"/>
    <w:basedOn w:val="ECEcorps"/>
    <w:next w:val="ECEcorps"/>
    <w:qFormat w:val="1"/>
    <w:rsid w:val="00452138"/>
    <w:pPr>
      <w:numPr>
        <w:numId w:val="4"/>
      </w:numPr>
    </w:pPr>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auto" w:space="1" w:sz="12" w:val="single"/>
        <w:left w:color="auto" w:space="4" w:sz="12" w:val="single"/>
        <w:bottom w:color="auto" w:space="1" w:sz="12" w:val="single"/>
        <w:right w:color="auto"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numPr>
        <w:numId w:val="2"/>
      </w:numPr>
    </w:pPr>
    <w:rPr>
      <w:rFonts w:eastAsia="Arial Unicode MS"/>
      <w:bCs w:val="1"/>
      <w:iCs w:val="1"/>
    </w:rPr>
  </w:style>
  <w:style w:type="paragraph" w:styleId="ECEpuce2" w:customStyle="1">
    <w:name w:val="ECEpuce2"/>
    <w:basedOn w:val="ECEcorps"/>
    <w:qFormat w:val="1"/>
    <w:rsid w:val="0060508C"/>
    <w:pPr>
      <w:numPr>
        <w:ilvl w:val="2"/>
        <w:numId w:val="2"/>
      </w:num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character" w:styleId="Lienhypertexte">
    <w:name w:val="Hyperlink"/>
    <w:basedOn w:val="Policepardfaut"/>
    <w:uiPriority w:val="99"/>
    <w:semiHidden w:val="1"/>
    <w:unhideWhenUsed w:val="1"/>
    <w:rsid w:val="001D6C71"/>
    <w:rPr>
      <w:color w:val="0000ff"/>
      <w:u w:val="single"/>
    </w:rPr>
  </w:style>
  <w:style w:type="paragraph" w:styleId="Paragraphedeliste">
    <w:name w:val="List Paragraph"/>
    <w:basedOn w:val="Normal"/>
    <w:uiPriority w:val="72"/>
    <w:rsid w:val="004F181B"/>
    <w:pPr>
      <w:ind w:left="720"/>
      <w:contextualSpacing w:val="1"/>
    </w:p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57.0" w:type="dxa"/>
        <w:bottom w:w="57.0" w:type="dxa"/>
        <w:right w:w="57.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 w:type="table" w:styleId="Table6">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mbriaMath-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gShWt9J9oI/VJxVt+jdwYnNW8A==">AMUW2mX3vN01it3ONroK+eZZD9Dg8pw91iIoY6BSKE8YMDYORPfP6iI58oE5PLzWFPqGAh3gyYC4qp79tt4AZvOOse8JVX0NILnav8/dKuivYpkH9nHEFbmO5eE9+y/hWskhygYh4yl0CRkatnpN5bzjVT3XovB+QV7inR47wUEo0JizxaQ6wnKUkS4F5tBGBPrNo+JhAGDDXqXJrRJ1w+tQG8W64jqpwXKlP0S5jPVszHYpLlSnWS0=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2020-11-16T10:22:00Z</dcterms:created>
  <dc:creator>SIEC</dc:creator>
</cp:coreProperties>
</file>