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BACCALAURÉAT GÉNÉRAL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Épreuve pratique de l’enseignement de spécialité physique-chimie</w:t>
      </w:r>
    </w:p>
    <w:p w:rsidR="00000000" w:rsidDel="00000000" w:rsidP="00000000" w:rsidRDefault="00000000" w:rsidRPr="00000000" w14:paraId="00000004">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Évaluation des Compétences Expérimentales</w:t>
      </w:r>
    </w:p>
    <w:p w:rsidR="00000000" w:rsidDel="00000000" w:rsidP="00000000" w:rsidRDefault="00000000" w:rsidRPr="00000000" w14:paraId="00000005">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situation d’évaluation fait partie de la banque nationale.</w:t>
      </w:r>
    </w:p>
    <w:p w:rsidR="00000000" w:rsidDel="00000000" w:rsidP="00000000" w:rsidRDefault="00000000" w:rsidRPr="00000000" w14:paraId="00000007">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09">
      <w:pPr>
        <w:keepNext w:val="0"/>
        <w:keepLines w:val="0"/>
        <w:pageBreakBefore w:val="0"/>
        <w:widowControl w:val="1"/>
        <w:pBdr>
          <w:top w:color="000001" w:space="1" w:sz="12" w:val="single"/>
          <w:left w:color="000001" w:space="1" w:sz="12" w:val="single"/>
          <w:bottom w:color="000001" w:space="1" w:sz="12" w:val="single"/>
          <w:right w:color="000001" w:space="1" w:sz="12" w:val="single"/>
          <w:between w:space="0" w:sz="0" w:val="nil"/>
        </w:pBdr>
        <w:shd w:fill="d8d8d8" w:val="clear"/>
        <w:tabs>
          <w:tab w:val="left" w:pos="-1985"/>
          <w:tab w:val="left" w:pos="567"/>
        </w:tabs>
        <w:spacing w:after="0" w:before="0" w:line="264" w:lineRule="auto"/>
        <w:ind w:left="360" w:right="281"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ÉNONCÉ DESTINÉ AU CANDIDAT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866.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933"/>
        <w:gridCol w:w="4933"/>
        <w:tblGridChange w:id="0">
          <w:tblGrid>
            <w:gridCol w:w="4933"/>
            <w:gridCol w:w="4933"/>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Prénom :</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Centre d’examen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d’inscription :</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situation d’évaluation comporte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quatre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pages sur lesquelles le candidat doit consigner ses réponses.</w:t>
      </w:r>
    </w:p>
    <w:p w:rsidR="00000000" w:rsidDel="00000000" w:rsidP="00000000" w:rsidRDefault="00000000" w:rsidRPr="00000000" w14:paraId="00000013">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candidat doit restituer ce document avant de sortir de la salle d'examen.</w:t>
      </w:r>
    </w:p>
    <w:p w:rsidR="00000000" w:rsidDel="00000000" w:rsidP="00000000" w:rsidRDefault="00000000" w:rsidRPr="00000000" w14:paraId="00000014">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candidat doit agir en autonomie et faire preuve d’initiative tout au long de l’épreuve.</w:t>
      </w:r>
    </w:p>
    <w:p w:rsidR="00000000" w:rsidDel="00000000" w:rsidP="00000000" w:rsidRDefault="00000000" w:rsidRPr="00000000" w14:paraId="00000016">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difficulté, le candidat peut solliciter l’examinateur afin de lui permettre de continuer la tâche.</w:t>
      </w:r>
    </w:p>
    <w:p w:rsidR="00000000" w:rsidDel="00000000" w:rsidP="00000000" w:rsidRDefault="00000000" w:rsidRPr="00000000" w14:paraId="00000017">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L’examinateur peut intervenir à tout moment, s’il le juge utile.</w:t>
      </w:r>
    </w:p>
    <w:p w:rsidR="00000000" w:rsidDel="00000000" w:rsidP="00000000" w:rsidRDefault="00000000" w:rsidRPr="00000000" w14:paraId="00000018">
      <w:pPr>
        <w:keepNext w:val="0"/>
        <w:keepLines w:val="0"/>
        <w:pageBreakBefore w:val="0"/>
        <w:widowControl w:val="1"/>
        <w:pBdr>
          <w:top w:color="000001" w:space="1" w:sz="12" w:val="single"/>
          <w:left w:color="000001" w:space="4" w:sz="12" w:val="single"/>
          <w:bottom w:color="000001" w:space="1" w:sz="12" w:val="single"/>
          <w:right w:color="000001"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L’usage de calculatrice avec mode examen actif est autorisé. L’usage de calculatrice sans mémoire « type collège » est autorisé.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CONTEXTE DE LA SITUATION D’ÉVALUATION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D">
      <w:pPr>
        <w:rPr>
          <w:color w:val="00000a"/>
        </w:rPr>
      </w:pPr>
      <w:r w:rsidDel="00000000" w:rsidR="00000000" w:rsidRPr="00000000">
        <w:rPr>
          <w:color w:val="00000a"/>
          <w:rtl w:val="0"/>
        </w:rPr>
        <w:t xml:space="preserve">La carence en magnésium est un mal répandu. Cet élément est de moins en moins présent dans notre alimentation en raison notamment du raffinage des céréales et du sel. Pourtant le magnésium est un oligo-élément essentiel au bon fonctionnement de l’organisme.</w:t>
      </w:r>
    </w:p>
    <w:p w:rsidR="00000000" w:rsidDel="00000000" w:rsidP="00000000" w:rsidRDefault="00000000" w:rsidRPr="00000000" w14:paraId="0000001E">
      <w:pPr>
        <w:rPr/>
      </w:pPr>
      <w:r w:rsidDel="00000000" w:rsidR="00000000" w:rsidRPr="00000000">
        <w:rPr>
          <w:rtl w:val="0"/>
        </w:rPr>
        <w:t xml:space="preserve">Consommé en cure, à l’automne par exemple, le chlorure de magnésium peut prévenir la fatigue et les maladies hivernales. Il existe sous différentes formes.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 but de cette épreuve est de déterminer si le volume d’une solution de chlorure de magnésium contenue dans un verre est suffisant pour apporter la quantité de magnésium recommandée par jour pour une cure de fond.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6">
      <w:pPr>
        <w:spacing w:line="240" w:lineRule="auto"/>
        <w:jc w:val="left"/>
        <w:rPr>
          <w:b w:val="1"/>
          <w:color w:val="00000a"/>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INFORMATIONS MISES À DISPOSITION DU CANDIDAT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 chlorure de magnésium</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64" w:lineRule="auto"/>
        <w:ind w:left="714" w:right="0" w:hanging="357"/>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Il est recommandé de consommer 300 mg de magnésium par jour pour une cure de fond. On choisit d’utiliser pour cela une solution S de chlorure de magnésium (Mg</w:t>
      </w:r>
      <w:r w:rsidDel="00000000" w:rsidR="00000000" w:rsidRPr="00000000">
        <w:rPr>
          <w:rFonts w:ascii="Arial" w:cs="Arial" w:eastAsia="Arial" w:hAnsi="Arial"/>
          <w:b w:val="0"/>
          <w:i w:val="0"/>
          <w:smallCaps w:val="0"/>
          <w:strike w:val="0"/>
          <w:color w:val="00000a"/>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(aq) + 2 Cℓ</w:t>
      </w:r>
      <w:r w:rsidDel="00000000" w:rsidR="00000000" w:rsidRPr="00000000">
        <w:rPr>
          <w:rFonts w:ascii="Arial" w:cs="Arial" w:eastAsia="Arial" w:hAnsi="Arial"/>
          <w:b w:val="0"/>
          <w:i w:val="0"/>
          <w:smallCaps w:val="0"/>
          <w:strike w:val="0"/>
          <w:color w:val="00000a"/>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(aq)).</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Les ions Mg</w:t>
      </w:r>
      <w:r w:rsidDel="00000000" w:rsidR="00000000" w:rsidRPr="00000000">
        <w:rPr>
          <w:rFonts w:ascii="Arial" w:cs="Arial" w:eastAsia="Arial" w:hAnsi="Arial"/>
          <w:b w:val="0"/>
          <w:i w:val="0"/>
          <w:smallCaps w:val="0"/>
          <w:strike w:val="0"/>
          <w:color w:val="00000a"/>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réagissent en solution aqueuse pour former un précipité blanc d’hydroxyde de magnésium selon la réaction d’équation : </w:t>
      </w:r>
      <w:r w:rsidDel="00000000" w:rsidR="00000000" w:rsidRPr="00000000">
        <w:rPr>
          <w:rtl w:val="0"/>
        </w:rPr>
      </w:r>
    </w:p>
    <w:p w:rsidR="00000000" w:rsidDel="00000000" w:rsidP="00000000" w:rsidRDefault="00000000" w:rsidRPr="00000000" w14:paraId="0000002D">
      <w:pPr>
        <w:jc w:val="center"/>
        <w:rPr/>
      </w:pPr>
      <w:r w:rsidDel="00000000" w:rsidR="00000000" w:rsidRPr="00000000">
        <w:rPr>
          <w:color w:val="00000a"/>
          <w:rtl w:val="0"/>
        </w:rPr>
        <w:t xml:space="preserve">Mg</w:t>
      </w:r>
      <w:r w:rsidDel="00000000" w:rsidR="00000000" w:rsidRPr="00000000">
        <w:rPr>
          <w:color w:val="00000a"/>
          <w:vertAlign w:val="superscript"/>
          <w:rtl w:val="0"/>
        </w:rPr>
        <w:t xml:space="preserve">2+</w:t>
      </w:r>
      <w:r w:rsidDel="00000000" w:rsidR="00000000" w:rsidRPr="00000000">
        <w:rPr>
          <w:color w:val="00000a"/>
          <w:rtl w:val="0"/>
        </w:rPr>
        <w:t xml:space="preserve">(aq) + 2</w:t>
      </w:r>
      <w:r w:rsidDel="00000000" w:rsidR="00000000" w:rsidRPr="00000000">
        <w:rPr>
          <w:rtl w:val="0"/>
        </w:rPr>
        <w:t xml:space="preserve">HO</w:t>
      </w:r>
      <w:r w:rsidDel="00000000" w:rsidR="00000000" w:rsidRPr="00000000">
        <w:rPr>
          <w:vertAlign w:val="superscript"/>
          <w:rtl w:val="0"/>
        </w:rPr>
        <w:t xml:space="preserve">–</w:t>
      </w:r>
      <w:r w:rsidDel="00000000" w:rsidR="00000000" w:rsidRPr="00000000">
        <w:rPr>
          <w:rFonts w:ascii="Arial Unicode MS" w:cs="Arial Unicode MS" w:eastAsia="Arial Unicode MS" w:hAnsi="Arial Unicode MS"/>
          <w:color w:val="00000a"/>
          <w:rtl w:val="0"/>
        </w:rPr>
        <w:t xml:space="preserve"> (aq) → Mg(OH)</w:t>
      </w:r>
      <w:r w:rsidDel="00000000" w:rsidR="00000000" w:rsidRPr="00000000">
        <w:rPr>
          <w:color w:val="00000a"/>
          <w:vertAlign w:val="subscript"/>
          <w:rtl w:val="0"/>
        </w:rPr>
        <w:t xml:space="preserve">2</w:t>
      </w:r>
      <w:r w:rsidDel="00000000" w:rsidR="00000000" w:rsidRPr="00000000">
        <w:rPr>
          <w:color w:val="00000a"/>
          <w:rtl w:val="0"/>
        </w:rPr>
        <w:t xml:space="preserve">(s)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Protocole expérimental de titrage conductimétrique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Remplir convenablement la burette avec la solution titrante d’hydroxyde de sodium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concentration en quantité de matière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0,10 mol·L</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Prélever un volume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 20,0 mL de la solution titrée. Ajouter environ 100 mL d’eau distillée.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Agencer le dispositif de titrage et placer le contenu du bécher sous agitation.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Disposer la cellule du conductimètre dans le bécher en veillant à ne pas piéger de bulle d’air.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Relever les valeurs de la conductivité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σ</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du mélange réactionnel pour des ajouts successifs de la solution titrante. L’addition se fait 1,0 mL par 1,0 mL jusqu’à un volume total ajouté de 15,0 mL.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Dans le tableur-grapheur, entrer les valeurs de la conductivité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σ</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et celles du volume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de solution titrante. En utilisant les fonctionnalités du logiciel, afficher le graphique représentant la conductivité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σ </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en fonction du volume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12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Déterminer la valeur du volume de solution titrante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0"/>
          <w:i w:val="1"/>
          <w:smallCaps w:val="0"/>
          <w:strike w:val="0"/>
          <w:color w:val="000000"/>
          <w:sz w:val="20"/>
          <w:szCs w:val="20"/>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versé à l’équivalence.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Données utiles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 w:line="240" w:lineRule="auto"/>
        <w:ind w:left="714" w:right="0" w:hanging="357"/>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Masses molaires :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Mg</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 24,3 g·mol</w:t>
      </w:r>
      <w:r w:rsidDel="00000000" w:rsidR="00000000" w:rsidRPr="00000000">
        <w:rPr>
          <w:rFonts w:ascii="Arial" w:cs="Arial" w:eastAsia="Arial" w:hAnsi="Arial"/>
          <w:b w:val="0"/>
          <w:i w:val="0"/>
          <w:smallCaps w:val="0"/>
          <w:strike w:val="0"/>
          <w:color w:val="00000a"/>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a"/>
          <w:sz w:val="20"/>
          <w:szCs w:val="20"/>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(Cℓ) = 35,5 g·mol</w:t>
      </w:r>
      <w:r w:rsidDel="00000000" w:rsidR="00000000" w:rsidRPr="00000000">
        <w:rPr>
          <w:rFonts w:ascii="Arial" w:cs="Arial" w:eastAsia="Arial" w:hAnsi="Arial"/>
          <w:b w:val="0"/>
          <w:i w:val="0"/>
          <w:smallCaps w:val="0"/>
          <w:strike w:val="0"/>
          <w:color w:val="00000a"/>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 w:line="240" w:lineRule="auto"/>
        <w:ind w:left="714" w:right="0" w:hanging="357"/>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Un verre à eau a une contenance d’environ 20 cL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TRAVAIL À EFFECTUER </w:t>
      </w:r>
    </w:p>
    <w:p w:rsidR="00000000" w:rsidDel="00000000" w:rsidP="00000000" w:rsidRDefault="00000000" w:rsidRPr="00000000" w14:paraId="0000003E">
      <w:pPr>
        <w:rPr>
          <w:b w:val="1"/>
          <w:color w:val="00000a"/>
          <w:u w:val="single"/>
        </w:rPr>
      </w:pPr>
      <w:r w:rsidDel="00000000" w:rsidR="00000000" w:rsidRPr="00000000">
        <w:rPr>
          <w:rtl w:val="0"/>
        </w:rPr>
      </w:r>
    </w:p>
    <w:bookmarkStart w:colFirst="0" w:colLast="0" w:name="3znysh7" w:id="2"/>
    <w:bookmarkEnd w:id="2"/>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i w:val="0"/>
          <w:smallCaps w:val="0"/>
          <w:strike w:val="0"/>
          <w:color w:val="000000"/>
          <w:sz w:val="20"/>
          <w:szCs w:val="20"/>
          <w:u w:val="none"/>
          <w:shd w:fill="auto" w:val="clear"/>
          <w:vertAlign w:val="baseline"/>
        </w:rPr>
      </w:pPr>
      <w:bookmarkStart w:colFirst="0" w:colLast="0" w:name="_1fob9te"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Dilution et titrage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minutes conseillées)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rPr/>
      </w:pPr>
      <w:r w:rsidDel="00000000" w:rsidR="00000000" w:rsidRPr="00000000">
        <w:rPr>
          <w:color w:val="00000a"/>
          <w:rtl w:val="0"/>
        </w:rPr>
        <w:t xml:space="preserve">Une solution S a été préparée en dissolvant un sachet de chlorure de magnésium dans un litre d’eau. À partir du matériel mis à disposition, proposer un protocole permettant de diluer d’un facteur cinq la solution S de chlorure de magnésium (Mg</w:t>
      </w:r>
      <w:r w:rsidDel="00000000" w:rsidR="00000000" w:rsidRPr="00000000">
        <w:rPr>
          <w:color w:val="00000a"/>
          <w:vertAlign w:val="superscript"/>
          <w:rtl w:val="0"/>
        </w:rPr>
        <w:t xml:space="preserve">2+</w:t>
      </w:r>
      <w:r w:rsidDel="00000000" w:rsidR="00000000" w:rsidRPr="00000000">
        <w:rPr>
          <w:color w:val="00000a"/>
          <w:rtl w:val="0"/>
        </w:rPr>
        <w:t xml:space="preserve">(aq) + 2 Cℓ</w:t>
      </w:r>
      <w:r w:rsidDel="00000000" w:rsidR="00000000" w:rsidRPr="00000000">
        <w:rPr>
          <w:color w:val="00000a"/>
          <w:vertAlign w:val="superscript"/>
          <w:rtl w:val="0"/>
        </w:rPr>
        <w:t xml:space="preserve">–</w:t>
      </w:r>
      <w:r w:rsidDel="00000000" w:rsidR="00000000" w:rsidRPr="00000000">
        <w:rPr>
          <w:color w:val="00000a"/>
          <w:rtl w:val="0"/>
        </w:rPr>
        <w:t xml:space="preserve">(aq)). La solution diluée ainsi obtenue est notée S’.</w:t>
      </w:r>
      <w:r w:rsidDel="00000000" w:rsidR="00000000" w:rsidRPr="00000000">
        <w:rPr>
          <w:rtl w:val="0"/>
        </w:rPr>
      </w:r>
    </w:p>
    <w:p w:rsidR="00000000" w:rsidDel="00000000" w:rsidP="00000000" w:rsidRDefault="00000000" w:rsidRPr="00000000" w14:paraId="00000042">
      <w:pPr>
        <w:spacing w:after="0" w:before="240" w:line="240" w:lineRule="auto"/>
        <w:rPr>
          <w:color w:val="00000a"/>
        </w:rPr>
      </w:pPr>
      <w:r w:rsidDel="00000000" w:rsidR="00000000" w:rsidRPr="00000000">
        <w:rPr>
          <w:color w:val="00000a"/>
          <w:rtl w:val="0"/>
        </w:rPr>
        <w:t xml:space="preserve">Revoir le protocole de dilution</w:t>
      </w:r>
    </w:p>
    <w:p w:rsidR="00000000" w:rsidDel="00000000" w:rsidP="00000000" w:rsidRDefault="00000000" w:rsidRPr="00000000" w14:paraId="00000043">
      <w:pPr>
        <w:spacing w:after="0" w:before="240" w:line="240" w:lineRule="auto"/>
        <w:rPr>
          <w:color w:val="00000a"/>
        </w:rPr>
      </w:pPr>
      <w:r w:rsidDel="00000000" w:rsidR="00000000" w:rsidRPr="00000000">
        <w:rPr>
          <w:rtl w:val="0"/>
        </w:rPr>
      </w:r>
    </w:p>
    <w:p w:rsidR="00000000" w:rsidDel="00000000" w:rsidP="00000000" w:rsidRDefault="00000000" w:rsidRPr="00000000" w14:paraId="00000044">
      <w:pPr>
        <w:spacing w:after="0" w:before="240" w:line="240" w:lineRule="auto"/>
        <w:rPr>
          <w:color w:val="3333ff"/>
        </w:rPr>
      </w:pPr>
      <w:r w:rsidDel="00000000" w:rsidR="00000000" w:rsidRPr="00000000">
        <w:rPr>
          <w:color w:val="3333ff"/>
          <w:rtl w:val="0"/>
        </w:rPr>
        <w:t xml:space="preserve">-Pour le matériel, cela dépend de ce qu'on a sur la paillasse. Par exemple, si on a une fiole jaugée de 100.0mL et des pipettes jaugées de 10mL, 20mL ET 25mL, il faut choisir celle avec un volume de 20mL car on souhaite faire une dilution d'un facteur 5 : si on fait Vfille/Vmère on obtient ainsi, 100/20 = 5 donc c'est le bon matériel à utiliser dans ce cas. </w:t>
      </w:r>
    </w:p>
    <w:p w:rsidR="00000000" w:rsidDel="00000000" w:rsidP="00000000" w:rsidRDefault="00000000" w:rsidRPr="00000000" w14:paraId="00000045">
      <w:pPr>
        <w:spacing w:after="0" w:before="240" w:line="240" w:lineRule="auto"/>
        <w:rPr>
          <w:color w:val="00000a"/>
        </w:rPr>
      </w:pPr>
      <w:r w:rsidDel="00000000" w:rsidR="00000000" w:rsidRPr="00000000">
        <w:rPr>
          <w:rtl w:val="0"/>
        </w:rPr>
      </w:r>
    </w:p>
    <w:p w:rsidR="00000000" w:rsidDel="00000000" w:rsidP="00000000" w:rsidRDefault="00000000" w:rsidRPr="00000000" w14:paraId="00000046">
      <w:pPr>
        <w:spacing w:after="0" w:before="240" w:line="240" w:lineRule="auto"/>
        <w:rPr>
          <w:color w:val="00000a"/>
        </w:rPr>
      </w:pPr>
      <w:r w:rsidDel="00000000" w:rsidR="00000000" w:rsidRPr="00000000">
        <w:rPr>
          <w:rtl w:val="0"/>
        </w:rPr>
      </w:r>
    </w:p>
    <w:p w:rsidR="00000000" w:rsidDel="00000000" w:rsidP="00000000" w:rsidRDefault="00000000" w:rsidRPr="00000000" w14:paraId="00000047">
      <w:pPr>
        <w:spacing w:after="0" w:before="240" w:line="240" w:lineRule="auto"/>
        <w:rPr>
          <w:color w:val="00000a"/>
        </w:rPr>
      </w:pPr>
      <w:r w:rsidDel="00000000" w:rsidR="00000000" w:rsidRPr="00000000">
        <w:rPr>
          <w:rtl w:val="0"/>
        </w:rPr>
      </w:r>
    </w:p>
    <w:p w:rsidR="00000000" w:rsidDel="00000000" w:rsidP="00000000" w:rsidRDefault="00000000" w:rsidRPr="00000000" w14:paraId="00000048">
      <w:pPr>
        <w:spacing w:after="0" w:before="240" w:line="240" w:lineRule="auto"/>
        <w:rPr>
          <w:color w:val="00000a"/>
        </w:rPr>
      </w:pPr>
      <w:r w:rsidDel="00000000" w:rsidR="00000000" w:rsidRPr="00000000">
        <w:rPr>
          <w:color w:val="00000a"/>
          <w:rtl w:val="0"/>
        </w:rPr>
        <w:t xml:space="preserve">Schématiser le montage correspondant au protocole expérimental fourni en repérant les solutions titrante et titrée.</w:t>
      </w:r>
    </w:p>
    <w:p w:rsidR="00000000" w:rsidDel="00000000" w:rsidP="00000000" w:rsidRDefault="00000000" w:rsidRPr="00000000" w14:paraId="00000049">
      <w:pPr>
        <w:spacing w:after="0" w:before="240" w:line="240" w:lineRule="auto"/>
        <w:rPr>
          <w:color w:val="3333ff"/>
        </w:rPr>
      </w:pPr>
      <w:r w:rsidDel="00000000" w:rsidR="00000000" w:rsidRPr="00000000">
        <w:rPr>
          <w:color w:val="3333ff"/>
          <w:rtl w:val="0"/>
        </w:rPr>
        <w:t xml:space="preserve">Solution titrante : solution d'hydroxyde  de sodium de concentration C1=0,10mol/L</w:t>
      </w:r>
      <w:r w:rsidDel="00000000" w:rsidR="00000000" w:rsidRPr="00000000">
        <w:drawing>
          <wp:anchor allowOverlap="1" behindDoc="0" distB="0" distT="0" distL="0" distR="0" hidden="0" layoutInCell="1" locked="0" relativeHeight="0" simplePos="0">
            <wp:simplePos x="0" y="0"/>
            <wp:positionH relativeFrom="column">
              <wp:posOffset>1334770</wp:posOffset>
            </wp:positionH>
            <wp:positionV relativeFrom="paragraph">
              <wp:posOffset>635</wp:posOffset>
            </wp:positionV>
            <wp:extent cx="3810000" cy="41052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4105275"/>
                    </a:xfrm>
                    <a:prstGeom prst="rect"/>
                    <a:ln/>
                  </pic:spPr>
                </pic:pic>
              </a:graphicData>
            </a:graphic>
          </wp:anchor>
        </w:drawing>
      </w:r>
    </w:p>
    <w:p w:rsidR="00000000" w:rsidDel="00000000" w:rsidP="00000000" w:rsidRDefault="00000000" w:rsidRPr="00000000" w14:paraId="0000004A">
      <w:pPr>
        <w:spacing w:after="0" w:before="240" w:line="240" w:lineRule="auto"/>
        <w:rPr>
          <w:color w:val="3333ff"/>
        </w:rPr>
      </w:pPr>
      <w:r w:rsidDel="00000000" w:rsidR="00000000" w:rsidRPr="00000000">
        <w:rPr>
          <w:color w:val="3333ff"/>
          <w:rtl w:val="0"/>
        </w:rPr>
        <w:t xml:space="preserve">Solution titrée de chlorure de magnésium de volume V = 20,0 mL et de concentration inconnue. </w:t>
      </w:r>
    </w:p>
    <w:p w:rsidR="00000000" w:rsidDel="00000000" w:rsidP="00000000" w:rsidRDefault="00000000" w:rsidRPr="00000000" w14:paraId="0000004B">
      <w:pPr>
        <w:spacing w:after="0" w:before="240" w:line="240" w:lineRule="auto"/>
        <w:rPr>
          <w:color w:val="00000a"/>
        </w:rPr>
      </w:pPr>
      <w:r w:rsidDel="00000000" w:rsidR="00000000" w:rsidRPr="00000000">
        <w:rPr>
          <w:rtl w:val="0"/>
        </w:rPr>
      </w:r>
    </w:p>
    <w:bookmarkStart w:colFirst="0" w:colLast="0" w:name="2et92p0" w:id="4"/>
    <w:bookmarkEnd w:id="4"/>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640.0" w:type="dxa"/>
        <w:jc w:val="center"/>
        <w:tblBorders>
          <w:top w:color="000001" w:space="0" w:sz="18" w:val="single"/>
          <w:left w:color="000001" w:space="0" w:sz="18" w:val="single"/>
          <w:bottom w:color="000001" w:space="0" w:sz="6" w:val="single"/>
          <w:insideH w:color="000001" w:space="0" w:sz="6" w:val="single"/>
        </w:tblBorders>
        <w:tblLayout w:type="fixed"/>
        <w:tblLook w:val="0000"/>
      </w:tblPr>
      <w:tblGrid>
        <w:gridCol w:w="1417"/>
        <w:gridCol w:w="6803"/>
        <w:gridCol w:w="1420"/>
        <w:tblGridChange w:id="0">
          <w:tblGrid>
            <w:gridCol w:w="1417"/>
            <w:gridCol w:w="6803"/>
            <w:gridCol w:w="1420"/>
          </w:tblGrid>
        </w:tblGridChange>
      </w:tblGrid>
      <w:tr>
        <w:trPr>
          <w:cantSplit w:val="0"/>
          <w:tblHeader w:val="0"/>
        </w:trPr>
        <w:tc>
          <w:tcPr>
            <w:tcBorders>
              <w:top w:color="000001" w:space="0" w:sz="18" w:val="single"/>
              <w:left w:color="000001" w:space="0" w:sz="18" w:val="single"/>
              <w:bottom w:color="000001" w:space="0" w:sz="6" w:val="single"/>
            </w:tcBorders>
            <w:shd w:fill="d9d9d9" w:val="clear"/>
            <w:vAlign w:val="center"/>
          </w:tcPr>
          <w:p w:rsidR="00000000" w:rsidDel="00000000" w:rsidP="00000000" w:rsidRDefault="00000000" w:rsidRPr="00000000" w14:paraId="0000004D">
            <w:pPr>
              <w:jc w:val="center"/>
              <w:rPr>
                <w:color w:val="00000a"/>
              </w:rPr>
            </w:pPr>
            <w:r w:rsidDel="00000000" w:rsidR="00000000" w:rsidRPr="00000000">
              <w:rPr>
                <w:rtl w:val="0"/>
              </w:rPr>
            </w:r>
          </w:p>
        </w:tc>
        <w:tc>
          <w:tcPr>
            <w:tcBorders>
              <w:top w:color="000001" w:space="0" w:sz="18" w:val="single"/>
              <w:bottom w:color="000001" w:space="0" w:sz="6" w:val="single"/>
            </w:tcBorders>
            <w:shd w:fill="d9d9d9"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 n°1</w:t>
            </w:r>
          </w:p>
        </w:tc>
        <w:tc>
          <w:tcPr>
            <w:tcBorders>
              <w:top w:color="000001" w:space="0" w:sz="18" w:val="single"/>
              <w:bottom w:color="000001" w:space="0" w:sz="6" w:val="single"/>
              <w:right w:color="000001" w:space="0" w:sz="18" w:val="single"/>
            </w:tcBorders>
            <w:shd w:fill="d9d9d9" w:val="clear"/>
            <w:vAlign w:val="center"/>
          </w:tcPr>
          <w:p w:rsidR="00000000" w:rsidDel="00000000" w:rsidP="00000000" w:rsidRDefault="00000000" w:rsidRPr="00000000" w14:paraId="0000004F">
            <w:pPr>
              <w:jc w:val="center"/>
              <w:rPr>
                <w:color w:val="00000a"/>
              </w:rPr>
            </w:pPr>
            <w:r w:rsidDel="00000000" w:rsidR="00000000" w:rsidRPr="00000000">
              <w:rPr>
                <w:rtl w:val="0"/>
              </w:rPr>
            </w:r>
          </w:p>
        </w:tc>
      </w:tr>
      <w:tr>
        <w:trPr>
          <w:cantSplit w:val="0"/>
          <w:tblHeader w:val="0"/>
        </w:trPr>
        <w:tc>
          <w:tcPr>
            <w:tcBorders>
              <w:top w:color="000001" w:space="0" w:sz="6" w:val="single"/>
              <w:left w:color="000001" w:space="0" w:sz="18" w:val="single"/>
              <w:bottom w:color="000001" w:space="0" w:sz="18" w:val="single"/>
              <w:right w:color="000001" w:space="0" w:sz="6" w:val="single"/>
            </w:tcBorders>
            <w:shd w:fill="auto" w:val="clear"/>
            <w:vAlign w:val="center"/>
          </w:tcPr>
          <w:p w:rsidR="00000000" w:rsidDel="00000000" w:rsidP="00000000" w:rsidRDefault="00000000" w:rsidRPr="00000000" w14:paraId="00000050">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c>
          <w:tcPr>
            <w:tcBorders>
              <w:top w:color="000001" w:space="0" w:sz="6" w:val="single"/>
              <w:left w:color="000001" w:space="0" w:sz="6" w:val="single"/>
              <w:bottom w:color="000001" w:space="0" w:sz="18" w:val="single"/>
              <w:right w:color="000001" w:space="0" w:sz="6" w:val="single"/>
            </w:tcBorders>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Appeler le professeur pour lui présenter les résultats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 en cas de difficulté</w:t>
            </w:r>
          </w:p>
        </w:tc>
        <w:tc>
          <w:tcPr>
            <w:tcBorders>
              <w:top w:color="000001" w:space="0" w:sz="6" w:val="single"/>
              <w:left w:color="000001" w:space="0" w:sz="6" w:val="single"/>
              <w:bottom w:color="000001" w:space="0" w:sz="18" w:val="single"/>
              <w:right w:color="000001" w:space="0" w:sz="18" w:val="single"/>
            </w:tcBorders>
            <w:shd w:fill="auto" w:val="clear"/>
            <w:vAlign w:val="center"/>
          </w:tcPr>
          <w:p w:rsidR="00000000" w:rsidDel="00000000" w:rsidP="00000000" w:rsidRDefault="00000000" w:rsidRPr="00000000" w14:paraId="00000053">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Détermination du volume à l’équivalence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minutes conseillées)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00000a"/>
          <w:rtl w:val="0"/>
        </w:rPr>
        <w:t xml:space="preserve">Mettre en œuvre le protocole et déterminer la valeur du volume à l’équivalence, notée </w:t>
      </w:r>
      <w:r w:rsidDel="00000000" w:rsidR="00000000" w:rsidRPr="00000000">
        <w:rPr>
          <w:i w:val="1"/>
          <w:color w:val="00000a"/>
          <w:rtl w:val="0"/>
        </w:rPr>
        <w:t xml:space="preserve">V</w:t>
      </w:r>
      <w:r w:rsidDel="00000000" w:rsidR="00000000" w:rsidRPr="00000000">
        <w:rPr>
          <w:i w:val="1"/>
          <w:color w:val="00000a"/>
          <w:vertAlign w:val="subscript"/>
          <w:rtl w:val="0"/>
        </w:rPr>
        <w:t xml:space="preserve">E</w:t>
      </w:r>
      <w:r w:rsidDel="00000000" w:rsidR="00000000" w:rsidRPr="00000000">
        <w:rPr>
          <w:color w:val="00000a"/>
          <w:rtl w:val="0"/>
        </w:rPr>
        <w:t xml:space="preserve">.</w:t>
      </w:r>
      <w:r w:rsidDel="00000000" w:rsidR="00000000" w:rsidRPr="00000000">
        <w:rPr>
          <w:rtl w:val="0"/>
        </w:rPr>
      </w:r>
    </w:p>
    <w:p w:rsidR="00000000" w:rsidDel="00000000" w:rsidP="00000000" w:rsidRDefault="00000000" w:rsidRPr="00000000" w14:paraId="0000005A">
      <w:pPr>
        <w:spacing w:after="0" w:before="240" w:line="240" w:lineRule="auto"/>
        <w:jc w:val="center"/>
        <w:rPr/>
      </w:pPr>
      <w:r w:rsidDel="00000000" w:rsidR="00000000" w:rsidRPr="00000000">
        <w:rPr>
          <w:i w:val="1"/>
          <w:color w:val="00000a"/>
          <w:rtl w:val="0"/>
        </w:rPr>
        <w:t xml:space="preserve">V</w:t>
      </w:r>
      <w:r w:rsidDel="00000000" w:rsidR="00000000" w:rsidRPr="00000000">
        <w:rPr>
          <w:i w:val="1"/>
          <w:color w:val="00000a"/>
          <w:vertAlign w:val="subscript"/>
          <w:rtl w:val="0"/>
        </w:rPr>
        <w:t xml:space="preserve">E </w:t>
      </w:r>
      <w:r w:rsidDel="00000000" w:rsidR="00000000" w:rsidRPr="00000000">
        <w:rPr>
          <w:i w:val="1"/>
          <w:color w:val="00000a"/>
          <w:rtl w:val="0"/>
        </w:rPr>
        <w:t xml:space="preserve">=</w:t>
      </w:r>
      <w:r w:rsidDel="00000000" w:rsidR="00000000" w:rsidRPr="00000000">
        <w:rPr>
          <w:color w:val="00000a"/>
          <w:rtl w:val="0"/>
        </w:rPr>
        <w:t xml:space="preserve"> </w:t>
      </w:r>
      <w:r w:rsidDel="00000000" w:rsidR="00000000" w:rsidRPr="00000000">
        <w:rPr>
          <w:color w:val="3333ff"/>
          <w:rtl w:val="0"/>
        </w:rPr>
        <w:t xml:space="preserve">à déterminer</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640.0" w:type="dxa"/>
        <w:jc w:val="center"/>
        <w:tblBorders>
          <w:top w:color="000001" w:space="0" w:sz="18" w:val="single"/>
          <w:left w:color="000001" w:space="0" w:sz="18" w:val="single"/>
          <w:bottom w:color="000001" w:space="0" w:sz="6" w:val="single"/>
          <w:insideH w:color="000001" w:space="0" w:sz="6" w:val="single"/>
        </w:tblBorders>
        <w:tblLayout w:type="fixed"/>
        <w:tblLook w:val="0000"/>
      </w:tblPr>
      <w:tblGrid>
        <w:gridCol w:w="1417"/>
        <w:gridCol w:w="6803"/>
        <w:gridCol w:w="1420"/>
        <w:tblGridChange w:id="0">
          <w:tblGrid>
            <w:gridCol w:w="1417"/>
            <w:gridCol w:w="6803"/>
            <w:gridCol w:w="1420"/>
          </w:tblGrid>
        </w:tblGridChange>
      </w:tblGrid>
      <w:tr>
        <w:trPr>
          <w:cantSplit w:val="0"/>
          <w:tblHeader w:val="0"/>
        </w:trPr>
        <w:tc>
          <w:tcPr>
            <w:tcBorders>
              <w:top w:color="000001" w:space="0" w:sz="18" w:val="single"/>
              <w:left w:color="000001" w:space="0" w:sz="18" w:val="single"/>
              <w:bottom w:color="000001" w:space="0" w:sz="6" w:val="single"/>
            </w:tcBorders>
            <w:shd w:fill="d9d9d9" w:val="clear"/>
            <w:vAlign w:val="center"/>
          </w:tcPr>
          <w:p w:rsidR="00000000" w:rsidDel="00000000" w:rsidP="00000000" w:rsidRDefault="00000000" w:rsidRPr="00000000" w14:paraId="0000005D">
            <w:pPr>
              <w:jc w:val="center"/>
              <w:rPr>
                <w:color w:val="00000a"/>
              </w:rPr>
            </w:pPr>
            <w:r w:rsidDel="00000000" w:rsidR="00000000" w:rsidRPr="00000000">
              <w:rPr>
                <w:rtl w:val="0"/>
              </w:rPr>
            </w:r>
          </w:p>
        </w:tc>
        <w:tc>
          <w:tcPr>
            <w:tcBorders>
              <w:top w:color="000001" w:space="0" w:sz="18" w:val="single"/>
              <w:bottom w:color="000001" w:space="0" w:sz="6" w:val="single"/>
            </w:tcBorders>
            <w:shd w:fill="d9d9d9"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 n°2</w:t>
            </w:r>
          </w:p>
        </w:tc>
        <w:tc>
          <w:tcPr>
            <w:tcBorders>
              <w:top w:color="000001" w:space="0" w:sz="18" w:val="single"/>
              <w:bottom w:color="000001" w:space="0" w:sz="6" w:val="single"/>
              <w:right w:color="000001" w:space="0" w:sz="18" w:val="single"/>
            </w:tcBorders>
            <w:shd w:fill="d9d9d9" w:val="clear"/>
            <w:vAlign w:val="center"/>
          </w:tcPr>
          <w:p w:rsidR="00000000" w:rsidDel="00000000" w:rsidP="00000000" w:rsidRDefault="00000000" w:rsidRPr="00000000" w14:paraId="0000005F">
            <w:pPr>
              <w:jc w:val="center"/>
              <w:rPr>
                <w:color w:val="00000a"/>
              </w:rPr>
            </w:pPr>
            <w:r w:rsidDel="00000000" w:rsidR="00000000" w:rsidRPr="00000000">
              <w:rPr>
                <w:rtl w:val="0"/>
              </w:rPr>
            </w:r>
          </w:p>
        </w:tc>
      </w:tr>
      <w:tr>
        <w:trPr>
          <w:cantSplit w:val="0"/>
          <w:tblHeader w:val="0"/>
        </w:trPr>
        <w:tc>
          <w:tcPr>
            <w:tcBorders>
              <w:top w:color="000001" w:space="0" w:sz="6" w:val="single"/>
              <w:left w:color="000001" w:space="0" w:sz="18" w:val="single"/>
              <w:bottom w:color="000001" w:space="0" w:sz="18" w:val="single"/>
              <w:right w:color="000001" w:space="0" w:sz="6" w:val="single"/>
            </w:tcBorders>
            <w:shd w:fill="auto" w:val="clear"/>
            <w:vAlign w:val="center"/>
          </w:tcPr>
          <w:p w:rsidR="00000000" w:rsidDel="00000000" w:rsidP="00000000" w:rsidRDefault="00000000" w:rsidRPr="00000000" w14:paraId="00000060">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c>
          <w:tcPr>
            <w:tcBorders>
              <w:top w:color="000001" w:space="0" w:sz="6" w:val="single"/>
              <w:left w:color="000001" w:space="0" w:sz="6" w:val="single"/>
              <w:bottom w:color="000001" w:space="0" w:sz="18" w:val="single"/>
              <w:right w:color="000001" w:space="0" w:sz="6"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Appeler le professeur pour lui présenter les résultats expérimentaux</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 en cas de difficulté</w:t>
            </w:r>
          </w:p>
        </w:tc>
        <w:tc>
          <w:tcPr>
            <w:tcBorders>
              <w:top w:color="000001" w:space="0" w:sz="6" w:val="single"/>
              <w:left w:color="000001" w:space="0" w:sz="6" w:val="single"/>
              <w:bottom w:color="000001" w:space="0" w:sz="18" w:val="single"/>
              <w:right w:color="000001" w:space="0" w:sz="18" w:val="single"/>
            </w:tcBorders>
            <w:shd w:fill="auto" w:val="clear"/>
            <w:vAlign w:val="center"/>
          </w:tcPr>
          <w:p w:rsidR="00000000" w:rsidDel="00000000" w:rsidP="00000000" w:rsidRDefault="00000000" w:rsidRPr="00000000" w14:paraId="00000063">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Cure de fond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minutes conseillées)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Boire un verre de la solution S par jour sera-t-il suffisant pour atteindre la dose recommandée pour une cure de fond ? Justifier la réponse.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A l'équivalence du titrage et d'après la stœchiométrie de l'équation de la réaction, on a n(Mg2+)=n(HO-)/2</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Donc, C(Mg2+)*V= (C(HO-)*VE)/2 d'où C(Mg2+)= (C(HO-)*VE)/2V</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Cette concentration correspond à la concentration molaire en ions Mg2+ de la solution diluée, donc on multiplie cette concentration par 20 pour retrouver la concentration en ions Mg2+ de la solution initiale.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Ainsi, on détermine maintenant la masse du chlorure de magnésium  présente dans un litre de solution mère, comme indiqué dans l'énoncé : n(Mg2+)=m/M donc m=n(Mg2+)*(M(Mg2+)+M(Cl-))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Ensuite, on sait que dans un litre de solution mère, on a une masse m(Mg2+) de chlorure de magnésium. Donc on détermine, par produit en croix, la masse de Mg2+ présente dans un verre 20cL.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3333ff"/>
          <w:sz w:val="20"/>
          <w:szCs w:val="20"/>
          <w:u w:val="none"/>
          <w:shd w:fill="auto" w:val="clear"/>
          <w:vertAlign w:val="baseline"/>
        </w:rPr>
      </w:pPr>
      <w:r w:rsidDel="00000000" w:rsidR="00000000" w:rsidRPr="00000000">
        <w:rPr>
          <w:rFonts w:ascii="Arial" w:cs="Arial" w:eastAsia="Arial" w:hAnsi="Arial"/>
          <w:b w:val="0"/>
          <w:i w:val="0"/>
          <w:smallCaps w:val="0"/>
          <w:strike w:val="0"/>
          <w:color w:val="3333ff"/>
          <w:sz w:val="20"/>
          <w:szCs w:val="20"/>
          <w:u w:val="none"/>
          <w:shd w:fill="auto" w:val="clear"/>
          <w:vertAlign w:val="baseline"/>
          <w:rtl w:val="0"/>
        </w:rPr>
        <w:t xml:space="preserve">Ça donne : m(Mg2+ verre)= (20E-2 * m(Mg2+ solution mère))/1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40.0" w:type="dxa"/>
        <w:jc w:val="center"/>
        <w:tblBorders>
          <w:top w:color="00000a" w:space="0" w:sz="18" w:val="single"/>
          <w:left w:color="00000a" w:space="0" w:sz="18" w:val="single"/>
          <w:bottom w:color="00000a" w:space="0" w:sz="6" w:val="single"/>
          <w:insideH w:color="00000a" w:space="0" w:sz="6" w:val="single"/>
        </w:tblBorders>
        <w:tblLayout w:type="fixed"/>
        <w:tblLook w:val="0000"/>
      </w:tblPr>
      <w:tblGrid>
        <w:gridCol w:w="1417"/>
        <w:gridCol w:w="6801"/>
        <w:gridCol w:w="1422"/>
        <w:tblGridChange w:id="0">
          <w:tblGrid>
            <w:gridCol w:w="1417"/>
            <w:gridCol w:w="6801"/>
            <w:gridCol w:w="1422"/>
          </w:tblGrid>
        </w:tblGridChange>
      </w:tblGrid>
      <w:tr>
        <w:trPr>
          <w:cantSplit w:val="0"/>
          <w:tblHeader w:val="0"/>
        </w:trPr>
        <w:tc>
          <w:tcPr>
            <w:tcBorders>
              <w:top w:color="00000a" w:space="0" w:sz="18" w:val="single"/>
              <w:left w:color="00000a" w:space="0" w:sz="18" w:val="single"/>
              <w:bottom w:color="00000a" w:space="0" w:sz="6" w:val="single"/>
            </w:tcBorders>
            <w:shd w:fill="d9d9d9" w:val="clear"/>
            <w:vAlign w:val="center"/>
          </w:tcPr>
          <w:p w:rsidR="00000000" w:rsidDel="00000000" w:rsidP="00000000" w:rsidRDefault="00000000" w:rsidRPr="00000000" w14:paraId="00000077">
            <w:pPr>
              <w:jc w:val="center"/>
              <w:rPr>
                <w:color w:val="00000a"/>
              </w:rPr>
            </w:pPr>
            <w:r w:rsidDel="00000000" w:rsidR="00000000" w:rsidRPr="00000000">
              <w:rPr>
                <w:rtl w:val="0"/>
              </w:rPr>
            </w:r>
          </w:p>
        </w:tc>
        <w:tc>
          <w:tcPr>
            <w:tcBorders>
              <w:top w:color="00000a" w:space="0" w:sz="18" w:val="single"/>
              <w:bottom w:color="00000a" w:space="0" w:sz="6" w:val="single"/>
            </w:tcBorders>
            <w:shd w:fill="d9d9d9"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 FACULTATIF</w:t>
            </w:r>
          </w:p>
        </w:tc>
        <w:tc>
          <w:tcPr>
            <w:tcBorders>
              <w:top w:color="00000a" w:space="0" w:sz="18" w:val="single"/>
              <w:bottom w:color="00000a" w:space="0" w:sz="6" w:val="single"/>
              <w:right w:color="00000a" w:space="0" w:sz="18" w:val="single"/>
            </w:tcBorders>
            <w:shd w:fill="d9d9d9" w:val="clear"/>
            <w:vAlign w:val="center"/>
          </w:tcPr>
          <w:p w:rsidR="00000000" w:rsidDel="00000000" w:rsidP="00000000" w:rsidRDefault="00000000" w:rsidRPr="00000000" w14:paraId="00000079">
            <w:pPr>
              <w:jc w:val="center"/>
              <w:rPr>
                <w:color w:val="00000a"/>
              </w:rPr>
            </w:pPr>
            <w:r w:rsidDel="00000000" w:rsidR="00000000" w:rsidRPr="00000000">
              <w:rPr>
                <w:rtl w:val="0"/>
              </w:rPr>
            </w:r>
          </w:p>
        </w:tc>
      </w:tr>
      <w:tr>
        <w:trPr>
          <w:cantSplit w:val="0"/>
          <w:tblHeader w:val="0"/>
        </w:trPr>
        <w:tc>
          <w:tcPr>
            <w:tcBorders>
              <w:top w:color="00000a" w:space="0" w:sz="6" w:val="single"/>
              <w:left w:color="00000a" w:space="0" w:sz="18" w:val="single"/>
              <w:bottom w:color="00000a" w:space="0" w:sz="18" w:val="single"/>
              <w:right w:color="00000a" w:space="0" w:sz="6" w:val="single"/>
            </w:tcBorders>
            <w:shd w:fill="ffffff" w:val="clear"/>
            <w:vAlign w:val="center"/>
          </w:tcPr>
          <w:p w:rsidR="00000000" w:rsidDel="00000000" w:rsidP="00000000" w:rsidRDefault="00000000" w:rsidRPr="00000000" w14:paraId="0000007A">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c>
          <w:tcPr>
            <w:tcBorders>
              <w:top w:color="00000a" w:space="0" w:sz="6" w:val="single"/>
              <w:left w:color="00000a" w:space="0" w:sz="6" w:val="single"/>
              <w:bottom w:color="00000a" w:space="0" w:sz="18" w:val="single"/>
              <w:right w:color="00000a" w:space="0" w:sz="6" w:val="single"/>
            </w:tcBorders>
            <w:shd w:fill="ffffff"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Appeler le professeur en cas de difficulté</w:t>
            </w:r>
          </w:p>
        </w:tc>
        <w:tc>
          <w:tcPr>
            <w:tcBorders>
              <w:top w:color="00000a" w:space="0" w:sz="6" w:val="single"/>
              <w:left w:color="00000a" w:space="0" w:sz="6" w:val="single"/>
              <w:bottom w:color="00000a" w:space="0" w:sz="18" w:val="single"/>
              <w:right w:color="00000a" w:space="0" w:sz="18" w:val="single"/>
            </w:tcBorders>
            <w:shd w:fill="ffffff" w:val="clear"/>
            <w:vAlign w:val="center"/>
          </w:tcPr>
          <w:p w:rsidR="00000000" w:rsidDel="00000000" w:rsidP="00000000" w:rsidRDefault="00000000" w:rsidRPr="00000000" w14:paraId="0000007C">
            <w:pPr>
              <w:jc w:val="center"/>
              <w:rPr>
                <w:rFonts w:ascii="Noto Sans Symbols" w:cs="Noto Sans Symbols" w:eastAsia="Noto Sans Symbols" w:hAnsi="Noto Sans Symbols"/>
                <w:color w:val="00000a"/>
                <w:sz w:val="96"/>
                <w:szCs w:val="96"/>
              </w:rPr>
            </w:pPr>
            <w:r w:rsidDel="00000000" w:rsidR="00000000" w:rsidRPr="00000000">
              <w:rPr>
                <w:rFonts w:ascii="Noto Sans Symbols" w:cs="Noto Sans Symbols" w:eastAsia="Noto Sans Symbols" w:hAnsi="Noto Sans Symbols"/>
                <w:color w:val="00000a"/>
                <w:sz w:val="96"/>
                <w:szCs w:val="96"/>
                <w:rtl w:val="0"/>
              </w:rPr>
              <w:t xml:space="preserve">🖐</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s8eyo1"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Défaire le montage et ranger la paillasse avant de quitter la salle.</w:t>
      </w:r>
    </w:p>
    <w:sectPr>
      <w:headerReference r:id="rId7" w:type="default"/>
      <w:footerReference r:id="rId8" w:type="default"/>
      <w:pgSz w:h="16838" w:w="11906" w:orient="portrait"/>
      <w:pgMar w:bottom="851" w:top="908" w:left="851" w:right="851"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sur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51"/>
        <w:tab w:val="center" w:pos="5103"/>
        <w:tab w:val="center" w:pos="9498"/>
      </w:tabs>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CHLORURE DE MAGNÉSIUM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Session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51"/>
        <w:tab w:val="center" w:pos="5103"/>
        <w:tab w:val="center" w:pos="9498"/>
      </w:tabs>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spacing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1" w:space="1" w:sz="12" w:val="single"/>
        <w:left w:color="000001" w:space="1" w:sz="12" w:val="single"/>
        <w:bottom w:color="000001" w:space="1" w:sz="12" w:val="single"/>
        <w:right w:color="000001" w:space="1" w:sz="12" w:val="single"/>
      </w:pBdr>
      <w:shd w:fill="7f7f7f" w:val="clear"/>
      <w:tabs>
        <w:tab w:val="left" w:pos="-1985"/>
        <w:tab w:val="left" w:pos="567"/>
      </w:tabs>
      <w:ind w:left="360" w:hanging="360"/>
      <w:jc w:val="center"/>
    </w:pPr>
    <w:rPr>
      <w:b w:val="1"/>
    </w:rPr>
  </w:style>
  <w:style w:type="paragraph" w:styleId="Heading2">
    <w:name w:val="heading 2"/>
    <w:basedOn w:val="Normal"/>
    <w:next w:val="Normal"/>
    <w:pPr>
      <w:keepNext w:val="1"/>
      <w:ind w:left="567" w:hanging="567"/>
    </w:pPr>
    <w:rPr>
      <w:b w:val="1"/>
    </w:rPr>
  </w:style>
  <w:style w:type="paragraph" w:styleId="Heading3">
    <w:name w:val="heading 3"/>
    <w:basedOn w:val="Normal"/>
    <w:next w:val="Normal"/>
    <w:pPr>
      <w:keepNext w:val="1"/>
      <w:ind w:left="1418" w:hanging="850"/>
    </w:pPr>
    <w:rPr/>
  </w:style>
  <w:style w:type="paragraph" w:styleId="Heading4">
    <w:name w:val="heading 4"/>
    <w:basedOn w:val="Normal"/>
    <w:next w:val="Normal"/>
    <w:pPr>
      <w:ind w:left="2211" w:hanging="1131"/>
    </w:pPr>
    <w:rPr/>
  </w:style>
  <w:style w:type="paragraph" w:styleId="Heading5">
    <w:name w:val="heading 5"/>
    <w:basedOn w:val="Normal"/>
    <w:next w:val="Normal"/>
    <w:pPr>
      <w:keepNext w:val="1"/>
      <w:tabs>
        <w:tab w:val="left" w:pos="-1985"/>
      </w:tabs>
      <w:ind w:left="1008" w:hanging="1008"/>
    </w:pPr>
    <w:rPr>
      <w:rFonts w:ascii="Garamond" w:cs="Garamond" w:eastAsia="Garamond" w:hAnsi="Garamond"/>
      <w:b w:val="1"/>
    </w:rPr>
  </w:style>
  <w:style w:type="paragraph" w:styleId="Heading6">
    <w:name w:val="heading 6"/>
    <w:basedOn w:val="Normal"/>
    <w:next w:val="Normal"/>
    <w:pPr>
      <w:keepNext w:val="1"/>
      <w:ind w:left="0" w:right="-2472" w:firstLine="0"/>
    </w:pPr>
    <w:rPr>
      <w:i w:val="1"/>
      <w:color w:val="ff0000"/>
    </w:rPr>
  </w:style>
  <w:style w:type="paragraph" w:styleId="Title">
    <w:name w:val="Title"/>
    <w:basedOn w:val="Normal"/>
    <w:next w:val="Normal"/>
    <w:pPr>
      <w:keepNext w:val="1"/>
      <w:spacing w:after="120" w:before="240" w:lineRule="auto"/>
      <w:jc w:val="left"/>
    </w:pPr>
    <w:rPr>
      <w:rFonts w:ascii="Liberation Sans" w:cs="Liberation Sans" w:eastAsia="Liberation Sans" w:hAnsi="Liberation Sans"/>
      <w:b w:val="1"/>
      <w:sz w:val="28"/>
      <w:szCs w:val="28"/>
    </w:rPr>
  </w:style>
  <w:style w:type="paragraph" w:styleId="Subtitle">
    <w:name w:val="Subtitle"/>
    <w:basedOn w:val="Normal"/>
    <w:next w:val="Normal"/>
    <w:pPr>
      <w:jc w:val="center"/>
    </w:pPr>
    <w:rPr>
      <w:b w:val="1"/>
      <w:i w:val="1"/>
      <w:sz w:val="28"/>
      <w:szCs w:val="28"/>
    </w:rPr>
  </w:style>
  <w:style w:type="table" w:styleId="Table1">
    <w:basedOn w:val="TableNormal"/>
    <w:tblPr>
      <w:tblStyleRowBandSize w:val="1"/>
      <w:tblStyleColBandSize w:val="1"/>
      <w:tblCellMar>
        <w:top w:w="57.0" w:type="dxa"/>
        <w:left w:w="46.0" w:type="dxa"/>
        <w:bottom w:w="57.0" w:type="dxa"/>
        <w:right w:w="57.0" w:type="dxa"/>
      </w:tblCellMar>
    </w:tblPr>
  </w:style>
  <w:style w:type="table" w:styleId="Table2">
    <w:basedOn w:val="TableNormal"/>
    <w:tblPr>
      <w:tblStyleRowBandSize w:val="1"/>
      <w:tblStyleColBandSize w:val="1"/>
      <w:tblCellMar>
        <w:top w:w="57.0" w:type="dxa"/>
        <w:left w:w="34.0" w:type="dxa"/>
        <w:bottom w:w="57.0" w:type="dxa"/>
        <w:right w:w="57.0" w:type="dxa"/>
      </w:tblCellMar>
    </w:tblPr>
  </w:style>
  <w:style w:type="table" w:styleId="Table3">
    <w:basedOn w:val="TableNormal"/>
    <w:tblPr>
      <w:tblStyleRowBandSize w:val="1"/>
      <w:tblStyleColBandSize w:val="1"/>
      <w:tblCellMar>
        <w:top w:w="57.0" w:type="dxa"/>
        <w:left w:w="34.0" w:type="dxa"/>
        <w:bottom w:w="57.0" w:type="dxa"/>
        <w:right w:w="57.0" w:type="dxa"/>
      </w:tblCellMar>
    </w:tblPr>
  </w:style>
  <w:style w:type="table" w:styleId="Table4">
    <w:basedOn w:val="TableNormal"/>
    <w:tblPr>
      <w:tblStyleRowBandSize w:val="1"/>
      <w:tblStyleColBandSize w:val="1"/>
      <w:tblCellMar>
        <w:top w:w="57.0" w:type="dxa"/>
        <w:left w:w="33.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