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color="000000" w:space="1" w:sz="12" w:val="single"/>
          <w:left w:color="000000" w:space="1" w:sz="12" w:val="single"/>
          <w:bottom w:color="000000" w:space="1" w:sz="12" w:val="single"/>
          <w:right w:color="000000" w:space="1" w:sz="12" w:val="single"/>
          <w:between w:space="0" w:sz="0" w:val="nil"/>
        </w:pBdr>
        <w:shd w:fill="d8d8d8" w:val="clear"/>
        <w:tabs>
          <w:tab w:val="left" w:pos="-1985"/>
          <w:tab w:val="left" w:pos="567"/>
        </w:tabs>
        <w:spacing w:after="0" w:before="0" w:line="264" w:lineRule="auto"/>
        <w:ind w:left="142" w:right="139"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5.0" w:type="dxa"/>
        <w:jc w:val="center"/>
        <w:tblLayout w:type="fixed"/>
        <w:tblLook w:val="0400"/>
      </w:tblPr>
      <w:tblGrid>
        <w:gridCol w:w="4933"/>
        <w:gridCol w:w="4932"/>
        <w:tblGridChange w:id="0">
          <w:tblGrid>
            <w:gridCol w:w="4933"/>
            <w:gridCol w:w="493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cinq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calculatrice avec mode examen actif est autorisé. L’usage de calculatrice sans mémoire « type collège » est autorisé.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r w:rsidDel="00000000" w:rsidR="00000000" w:rsidRPr="00000000">
        <w:drawing>
          <wp:anchor allowOverlap="1" behindDoc="0" distB="0" distT="0" distL="114300" distR="114300" hidden="0" layoutInCell="1" locked="0" relativeHeight="0" simplePos="0">
            <wp:simplePos x="0" y="0"/>
            <wp:positionH relativeFrom="column">
              <wp:posOffset>4565650</wp:posOffset>
            </wp:positionH>
            <wp:positionV relativeFrom="paragraph">
              <wp:posOffset>6985</wp:posOffset>
            </wp:positionV>
            <wp:extent cx="2257425" cy="257810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57425" cy="2578100"/>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permanganate de potassium est un antiseptique local, utilisé pour l’antisepsie de la peau, des muqueuses et des plaies superficielles.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Il est disponible en pharmacie, sous forme d’une poudre, conditionnée en sachet de 0,25 g, qui doit être dissoute dans l’eau. Pour éviter tout risque d’irritation, il est important d’attendre que cette poudre soit totalement dissoute avant d’utiliser la solution.</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solution obtenue s’utilise en bain ou en application et il est indiqué sur la notice : «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cette solution doit être préparée juste avant l’emploi. Ne pas la conserver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En effet, cette solution se dégrade lentement dans le temps.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240"/>
        </w:tabs>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2a6099"/>
          <w:sz w:val="24"/>
          <w:szCs w:val="24"/>
          <w:u w:val="none"/>
          <w:shd w:fill="auto" w:val="clear"/>
          <w:vertAlign w:val="baseline"/>
          <w:rtl w:val="0"/>
        </w:rPr>
        <w:t xml:space="preserve">Le but de cette épreuve est d’évaluer si, au bout de quelques jours, la solution de permanganate de potassium s’est effectivement dégradée.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240"/>
        </w:tabs>
        <w:spacing w:after="0" w:before="0" w:line="264" w:lineRule="auto"/>
        <w:ind w:left="0" w:right="0" w:firstLine="0"/>
        <w:jc w:val="both"/>
        <w:rPr>
          <w:rFonts w:ascii="Arial" w:cs="Arial" w:eastAsia="Arial" w:hAnsi="Arial"/>
          <w:b w:val="1"/>
          <w:i w:val="1"/>
          <w:smallCaps w:val="0"/>
          <w:strike w:val="0"/>
          <w:color w:val="2a609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Solution de permanganate de potassium à contrôler</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solution aqueuse de permanganate de potassium (K</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(aq), </w:t>
      </w:r>
      <m:oMath>
        <m:sSubSup>
          <m:sSubSupPr>
            <m:ctrlPr>
              <w:rPr>
                <w:rFonts w:ascii="Cambria Math" w:cs="Cambria Math" w:eastAsia="Cambria Math" w:hAnsi="Cambria Math"/>
                <w:b w:val="0"/>
                <w:i w:val="0"/>
                <w:smallCaps w:val="0"/>
                <w:strike w:val="0"/>
                <w:color w:val="000000"/>
                <w:sz w:val="20"/>
                <w:szCs w:val="20"/>
                <w:u w:val="none"/>
                <w:shd w:fill="auto" w:val="clear"/>
                <w:vertAlign w:val="baseline"/>
              </w:rPr>
            </m:ctrlPr>
          </m:sSubSupPr>
          <m:e>
            <m:r>
              <w:rPr>
                <w:rFonts w:ascii="Cambria Math" w:cs="Cambria Math" w:eastAsia="Cambria Math" w:hAnsi="Cambria Math"/>
                <w:b w:val="0"/>
                <w:i w:val="0"/>
                <w:smallCaps w:val="0"/>
                <w:strike w:val="0"/>
                <w:color w:val="000000"/>
                <w:sz w:val="20"/>
                <w:szCs w:val="20"/>
                <w:u w:val="none"/>
                <w:shd w:fill="auto" w:val="clear"/>
                <w:vertAlign w:val="baseline"/>
              </w:rPr>
              <m:t xml:space="preserve">MnO</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4</m:t>
            </m:r>
          </m:sub>
          <m:sup>
            <m:r>
              <w:rPr>
                <w:rFonts w:ascii="Cambria Math" w:cs="Cambria Math" w:eastAsia="Cambria Math" w:hAnsi="Cambria Math"/>
                <w:b w:val="0"/>
                <w:i w:val="0"/>
                <w:smallCaps w:val="0"/>
                <w:strike w:val="0"/>
                <w:color w:val="000000"/>
                <w:sz w:val="20"/>
                <w:szCs w:val="20"/>
                <w:u w:val="none"/>
                <w:shd w:fill="auto" w:val="clear"/>
                <w:vertAlign w:val="baseline"/>
              </w:rPr>
              <m:t xml:space="preserve">−(aq)</m:t>
            </m:r>
          </m:sup>
        </m:sSubSup>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 été préparée</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il y a quelques jours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 dissolution, dans </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50,0 mL d’eau distillée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 contenu d’un sachet de</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 0,25 g de permanganate de potassium</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Une partie de cette solution se trouve dans un flacon noté </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2a6099"/>
          <w:sz w:val="20"/>
          <w:szCs w:val="20"/>
          <w:u w:val="none"/>
          <w:shd w:fill="auto" w:val="clear"/>
          <w:vertAlign w:val="subscript"/>
          <w:rtl w:val="0"/>
        </w:rPr>
        <w:t xml:space="preserve">ancienne</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Solutions étalons à disposition</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gamme étalon fournie est constituée de quatre solutions fraîchement préparées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dont les concentrations sont répertoriées dans le tableau ci-dessous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2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tl w:val="0"/>
        </w:rPr>
      </w:r>
    </w:p>
    <w:tbl>
      <w:tblPr>
        <w:tblStyle w:val="Table2"/>
        <w:tblW w:w="1020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8"/>
        <w:gridCol w:w="1699"/>
        <w:gridCol w:w="1558"/>
        <w:gridCol w:w="1559"/>
        <w:gridCol w:w="1422"/>
        <w:tblGridChange w:id="0">
          <w:tblGrid>
            <w:gridCol w:w="3968"/>
            <w:gridCol w:w="1699"/>
            <w:gridCol w:w="1558"/>
            <w:gridCol w:w="1559"/>
            <w:gridCol w:w="1422"/>
          </w:tblGrid>
        </w:tblGridChange>
      </w:tblGrid>
      <w:tr>
        <w:trPr>
          <w:cantSplit w:val="0"/>
          <w:trHeight w:val="148" w:hRule="atLeast"/>
          <w:tblHeader w:val="0"/>
        </w:trPr>
        <w:tc>
          <w:tcPr>
            <w:shd w:fill="auto" w:val="clea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Solution S</w:t>
            </w:r>
            <w:r w:rsidDel="00000000" w:rsidR="00000000" w:rsidRPr="00000000">
              <w:rPr>
                <w:rtl w:val="0"/>
              </w:rPr>
            </w:r>
          </w:p>
        </w:tc>
        <w:tc>
          <w:tcPr>
            <w:shd w:fill="auto" w:val="clea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2a6099"/>
                <w:sz w:val="20"/>
                <w:szCs w:val="20"/>
                <w:u w:val="none"/>
                <w:shd w:fill="auto" w:val="clear"/>
                <w:vertAlign w:val="subscript"/>
                <w:rtl w:val="0"/>
              </w:rPr>
              <w:t xml:space="preserve">1</w:t>
            </w:r>
            <w:r w:rsidDel="00000000" w:rsidR="00000000" w:rsidRPr="00000000">
              <w:rPr>
                <w:rtl w:val="0"/>
              </w:rPr>
            </w:r>
          </w:p>
        </w:tc>
        <w:tc>
          <w:tcPr>
            <w:shd w:fill="auto" w:val="clea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2a6099"/>
                <w:sz w:val="20"/>
                <w:szCs w:val="20"/>
                <w:u w:val="none"/>
                <w:shd w:fill="auto" w:val="clear"/>
                <w:vertAlign w:val="subscript"/>
                <w:rtl w:val="0"/>
              </w:rPr>
              <w:t xml:space="preserve">2</w:t>
            </w:r>
            <w:r w:rsidDel="00000000" w:rsidR="00000000" w:rsidRPr="00000000">
              <w:rPr>
                <w:rtl w:val="0"/>
              </w:rPr>
            </w:r>
          </w:p>
        </w:tc>
        <w:tc>
          <w:tcPr>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2a6099"/>
                <w:sz w:val="20"/>
                <w:szCs w:val="20"/>
                <w:u w:val="none"/>
                <w:shd w:fill="auto" w:val="clear"/>
                <w:vertAlign w:val="subscript"/>
                <w:rtl w:val="0"/>
              </w:rPr>
              <w:t xml:space="preserve">3</w:t>
            </w:r>
            <w:r w:rsidDel="00000000" w:rsidR="00000000" w:rsidRPr="00000000">
              <w:rPr>
                <w:rtl w:val="0"/>
              </w:rPr>
            </w:r>
          </w:p>
        </w:tc>
        <w:tc>
          <w:tcPr>
            <w:shd w:fill="auto" w:val="clea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2a6099"/>
                <w:sz w:val="20"/>
                <w:szCs w:val="20"/>
                <w:u w:val="none"/>
                <w:shd w:fill="auto" w:val="clear"/>
                <w:vertAlign w:val="subscript"/>
                <w:rtl w:val="0"/>
              </w:rPr>
              <w:t xml:space="preserve">4</w:t>
            </w:r>
            <w:r w:rsidDel="00000000" w:rsidR="00000000" w:rsidRPr="00000000">
              <w:rPr>
                <w:rtl w:val="0"/>
              </w:rPr>
            </w:r>
          </w:p>
        </w:tc>
      </w:tr>
      <w:tr>
        <w:trPr>
          <w:cantSplit w:val="0"/>
          <w:trHeight w:val="350" w:hRule="atLeast"/>
          <w:tblHeader w:val="0"/>
        </w:trPr>
        <w:tc>
          <w:tcPr>
            <w:shd w:fill="auto" w:val="cle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Concentration en masse </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c</w:t>
            </w:r>
            <w:r w:rsidDel="00000000" w:rsidR="00000000" w:rsidRPr="00000000">
              <w:rPr>
                <w:rFonts w:ascii="Arial" w:cs="Arial" w:eastAsia="Arial" w:hAnsi="Arial"/>
                <w:b w:val="1"/>
                <w:i w:val="1"/>
                <w:smallCaps w:val="0"/>
                <w:strike w:val="0"/>
                <w:color w:val="2a6099"/>
                <w:sz w:val="20"/>
                <w:szCs w:val="20"/>
                <w:u w:val="none"/>
                <w:shd w:fill="auto" w:val="clear"/>
                <w:vertAlign w:val="subscript"/>
                <w:rtl w:val="0"/>
              </w:rPr>
              <w:t xml:space="preserve">m</w:t>
            </w:r>
            <w:r w:rsidDel="00000000" w:rsidR="00000000" w:rsidRPr="00000000">
              <w:rPr>
                <w:rFonts w:ascii="Arial" w:cs="Arial" w:eastAsia="Arial" w:hAnsi="Arial"/>
                <w:b w:val="1"/>
                <w:i w:val="1"/>
                <w:smallCaps w:val="0"/>
                <w:strike w:val="0"/>
                <w:color w:val="2a6099"/>
                <w:sz w:val="20"/>
                <w:szCs w:val="20"/>
                <w:u w:val="none"/>
                <w:shd w:fill="auto" w:val="clear"/>
                <w:vertAlign w:val="baseline"/>
                <w:rtl w:val="0"/>
              </w:rPr>
              <w:t xml:space="preserve"> </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(en g·L</w:t>
            </w:r>
            <w:r w:rsidDel="00000000" w:rsidR="00000000" w:rsidRPr="00000000">
              <w:rPr>
                <w:rFonts w:ascii="Arial" w:cs="Arial" w:eastAsia="Arial" w:hAnsi="Arial"/>
                <w:b w:val="1"/>
                <w:i w:val="0"/>
                <w:smallCaps w:val="0"/>
                <w:strike w:val="0"/>
                <w:color w:val="2a6099"/>
                <w:sz w:val="20"/>
                <w:szCs w:val="20"/>
                <w:u w:val="none"/>
                <w:shd w:fill="auto" w:val="clear"/>
                <w:vertAlign w:val="superscript"/>
                <w:rtl w:val="0"/>
              </w:rPr>
              <w:t xml:space="preserve">–1</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1,0 × 10</w:t>
            </w:r>
            <w:r w:rsidDel="00000000" w:rsidR="00000000" w:rsidRPr="00000000">
              <w:rPr>
                <w:rFonts w:ascii="Arial" w:cs="Arial" w:eastAsia="Arial" w:hAnsi="Arial"/>
                <w:b w:val="0"/>
                <w:i w:val="0"/>
                <w:smallCaps w:val="0"/>
                <w:strike w:val="0"/>
                <w:color w:val="2a6099"/>
                <w:sz w:val="20"/>
                <w:szCs w:val="20"/>
                <w:u w:val="none"/>
                <w:shd w:fill="auto" w:val="clear"/>
                <w:vertAlign w:val="super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2,0 × 10</w:t>
            </w:r>
            <w:r w:rsidDel="00000000" w:rsidR="00000000" w:rsidRPr="00000000">
              <w:rPr>
                <w:rFonts w:ascii="Arial" w:cs="Arial" w:eastAsia="Arial" w:hAnsi="Arial"/>
                <w:b w:val="0"/>
                <w:i w:val="0"/>
                <w:smallCaps w:val="0"/>
                <w:strike w:val="0"/>
                <w:color w:val="2a6099"/>
                <w:sz w:val="20"/>
                <w:szCs w:val="20"/>
                <w:u w:val="none"/>
                <w:shd w:fill="auto" w:val="clear"/>
                <w:vertAlign w:val="super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3,0 × 10</w:t>
            </w:r>
            <w:r w:rsidDel="00000000" w:rsidR="00000000" w:rsidRPr="00000000">
              <w:rPr>
                <w:rFonts w:ascii="Arial" w:cs="Arial" w:eastAsia="Arial" w:hAnsi="Arial"/>
                <w:b w:val="0"/>
                <w:i w:val="0"/>
                <w:smallCaps w:val="0"/>
                <w:strike w:val="0"/>
                <w:color w:val="2a6099"/>
                <w:sz w:val="20"/>
                <w:szCs w:val="20"/>
                <w:u w:val="none"/>
                <w:shd w:fill="auto" w:val="clear"/>
                <w:vertAlign w:val="super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4,0 × 10</w:t>
            </w:r>
            <w:r w:rsidDel="00000000" w:rsidR="00000000" w:rsidRPr="00000000">
              <w:rPr>
                <w:rFonts w:ascii="Arial" w:cs="Arial" w:eastAsia="Arial" w:hAnsi="Arial"/>
                <w:b w:val="0"/>
                <w:i w:val="0"/>
                <w:smallCaps w:val="0"/>
                <w:strike w:val="0"/>
                <w:color w:val="2a6099"/>
                <w:sz w:val="20"/>
                <w:szCs w:val="20"/>
                <w:u w:val="none"/>
                <w:shd w:fill="auto" w:val="clear"/>
                <w:vertAlign w:val="superscript"/>
                <w:rtl w:val="0"/>
              </w:rPr>
              <w:t xml:space="preserve">–1</w:t>
            </w: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2a6099"/>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Dangers et protections</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nécessité de l’usage de protections dépend de la concentration en masse de la solution aqueuse de permanganate de potassium manipulée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1005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70"/>
        <w:gridCol w:w="2189"/>
        <w:gridCol w:w="3178"/>
        <w:gridCol w:w="3122"/>
        <w:tblGridChange w:id="0">
          <w:tblGrid>
            <w:gridCol w:w="1570"/>
            <w:gridCol w:w="2189"/>
            <w:gridCol w:w="3178"/>
            <w:gridCol w:w="3122"/>
          </w:tblGrid>
        </w:tblGridChange>
      </w:tblGrid>
      <w:tr>
        <w:trPr>
          <w:cantSplit w:val="0"/>
          <w:tblHeader w:val="0"/>
        </w:trPr>
        <w:tc>
          <w:tcPr>
            <w:shd w:fill="auto" w:val="clear"/>
            <w:vAlign w:val="center"/>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Concentration en masse</w:t>
            </w:r>
          </w:p>
        </w:tc>
        <w:tc>
          <w:tcPr>
            <w:shd w:fill="auto" w:val="clear"/>
            <w:vAlign w:val="center"/>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Inférieure à 2,5 g·L</w:t>
            </w:r>
            <w:r w:rsidDel="00000000" w:rsidR="00000000" w:rsidRPr="00000000">
              <w:rPr>
                <w:rFonts w:ascii="Arial" w:cs="Arial" w:eastAsia="Arial" w:hAnsi="Arial"/>
                <w:b w:val="1"/>
                <w:i w:val="0"/>
                <w:smallCaps w:val="0"/>
                <w:strike w:val="0"/>
                <w:color w:val="000000"/>
                <w:sz w:val="20"/>
                <w:szCs w:val="20"/>
                <w:u w:val="none"/>
                <w:shd w:fill="auto" w:val="clear"/>
                <w:vertAlign w:val="super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Entre 2,5 et 250 g·L</w:t>
            </w:r>
            <w:r w:rsidDel="00000000" w:rsidR="00000000" w:rsidRPr="00000000">
              <w:rPr>
                <w:rFonts w:ascii="Arial" w:cs="Arial" w:eastAsia="Arial" w:hAnsi="Arial"/>
                <w:b w:val="1"/>
                <w:i w:val="0"/>
                <w:smallCaps w:val="0"/>
                <w:strike w:val="0"/>
                <w:color w:val="2a6099"/>
                <w:sz w:val="20"/>
                <w:szCs w:val="20"/>
                <w:u w:val="none"/>
                <w:shd w:fill="auto" w:val="clear"/>
                <w:vertAlign w:val="superscript"/>
                <w:rtl w:val="0"/>
              </w:rPr>
              <w:t xml:space="preserve">–1</w:t>
            </w:r>
            <w:r w:rsidDel="00000000" w:rsidR="00000000" w:rsidRPr="00000000">
              <w:rPr>
                <w:rtl w:val="0"/>
              </w:rPr>
            </w:r>
          </w:p>
        </w:tc>
        <w:tc>
          <w:tcPr>
            <w:shd w:fill="auto" w:val="cle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Supérieure à 250 g·L</w:t>
            </w:r>
            <w:r w:rsidDel="00000000" w:rsidR="00000000" w:rsidRPr="00000000">
              <w:rPr>
                <w:rFonts w:ascii="Arial" w:cs="Arial" w:eastAsia="Arial" w:hAnsi="Arial"/>
                <w:b w:val="1"/>
                <w:i w:val="0"/>
                <w:smallCaps w:val="0"/>
                <w:strike w:val="0"/>
                <w:color w:val="2a6099"/>
                <w:sz w:val="20"/>
                <w:szCs w:val="20"/>
                <w:u w:val="none"/>
                <w:shd w:fill="auto" w:val="clear"/>
                <w:vertAlign w:val="superscript"/>
                <w:rtl w:val="0"/>
              </w:rPr>
              <w:t xml:space="preserve">–1</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Dangers</w:t>
            </w:r>
          </w:p>
        </w:tc>
        <w:tc>
          <w:tcPr>
            <w:shd w:fill="auto" w:val="clear"/>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Dangereux pour l’environnement</w:t>
            </w:r>
          </w:p>
        </w:tc>
        <w:tc>
          <w:tcPr>
            <w:shd w:fill="auto" w:val="clea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Dangereux pour l’environnement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Corrosif</w:t>
            </w:r>
          </w:p>
        </w:tc>
      </w:tr>
      <w:tr>
        <w:trPr>
          <w:cantSplit w:val="0"/>
          <w:trHeight w:val="254" w:hRule="atLeast"/>
          <w:tblHeader w:val="0"/>
        </w:trPr>
        <w:tc>
          <w:tcPr>
            <w:shd w:fill="auto" w:val="clear"/>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Protections</w:t>
            </w:r>
          </w:p>
        </w:tc>
        <w:tc>
          <w:tcPr>
            <w:shd w:fill="auto" w:val="clear"/>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Blouse</w:t>
            </w:r>
          </w:p>
        </w:tc>
        <w:tc>
          <w:tcPr>
            <w:shd w:fill="auto" w:val="clea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Blouse, lunettes et gants</w:t>
            </w:r>
          </w:p>
        </w:tc>
        <w:tc>
          <w:tcPr>
            <w:shd w:fill="auto" w:val="clear"/>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Blouse, lunettes et gants</w:t>
            </w:r>
          </w:p>
        </w:tc>
      </w:tr>
    </w:tbl>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Comparaison du résultat d'une mesure à une valeur de référence</w:t>
      </w:r>
    </w:p>
    <w:p w:rsidR="00000000" w:rsidDel="00000000" w:rsidP="00000000" w:rsidRDefault="00000000" w:rsidRPr="00000000" w14:paraId="00000056">
      <w:pPr>
        <w:spacing w:line="240" w:lineRule="auto"/>
        <w:jc w:val="left"/>
        <w:rPr>
          <w:color w:val="000000"/>
        </w:rPr>
      </w:pPr>
      <w:r w:rsidDel="00000000" w:rsidR="00000000" w:rsidRPr="00000000">
        <w:rPr>
          <w:rtl w:val="0"/>
        </w:rPr>
      </w:r>
    </w:p>
    <w:p w:rsidR="00000000" w:rsidDel="00000000" w:rsidP="00000000" w:rsidRDefault="00000000" w:rsidRPr="00000000" w14:paraId="00000057">
      <w:pPr>
        <w:spacing w:line="240" w:lineRule="auto"/>
        <w:rPr>
          <w:color w:val="000000"/>
        </w:rPr>
      </w:pPr>
      <w:bookmarkStart w:colFirst="0" w:colLast="0" w:name="_heading=h.30j0zll" w:id="1"/>
      <w:bookmarkEnd w:id="1"/>
      <w:r w:rsidDel="00000000" w:rsidR="00000000" w:rsidRPr="00000000">
        <w:rPr>
          <w:color w:val="000000"/>
          <w:rtl w:val="0"/>
        </w:rPr>
        <w:t xml:space="preserve">Il est possible de comparer une valeur expérimentale à une valeur de référence à l’aide du calcul du quotient </w:t>
      </w:r>
      <w:r w:rsidDel="00000000" w:rsidR="00000000" w:rsidRPr="00000000">
        <w:rPr>
          <w:i w:val="1"/>
          <w:color w:val="000000"/>
          <w:rtl w:val="0"/>
        </w:rPr>
        <w:t xml:space="preserve">z</w:t>
      </w:r>
      <w:r w:rsidDel="00000000" w:rsidR="00000000" w:rsidRPr="00000000">
        <w:rPr>
          <w:color w:val="000000"/>
          <w:rtl w:val="0"/>
        </w:rPr>
        <w:t xml:space="preserve"> </w:t>
      </w:r>
      <w:r w:rsidDel="00000000" w:rsidR="00000000" w:rsidRPr="00000000">
        <w:rPr>
          <w:color w:val="2a6099"/>
          <w:rtl w:val="0"/>
        </w:rPr>
        <w:t xml:space="preserve">suivant :</w:t>
      </w:r>
      <w:r w:rsidDel="00000000" w:rsidR="00000000" w:rsidRPr="00000000">
        <w:rPr>
          <w:rtl w:val="0"/>
        </w:rPr>
      </w:r>
    </w:p>
    <w:p w:rsidR="00000000" w:rsidDel="00000000" w:rsidP="00000000" w:rsidRDefault="00000000" w:rsidRPr="00000000" w14:paraId="00000058">
      <w:pPr>
        <w:spacing w:line="240" w:lineRule="auto"/>
        <w:jc w:val="left"/>
        <w:rPr>
          <w:color w:val="2a6099"/>
        </w:rPr>
      </w:pPr>
      <m:oMath>
        <m:r>
          <w:rPr>
            <w:rFonts w:ascii="Cambria Math" w:cs="Cambria Math" w:eastAsia="Cambria Math" w:hAnsi="Cambria Math"/>
          </w:rPr>
          <m:t xml:space="preserve">z = </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 C</m:t>
                </m:r>
              </m:e>
              <m:sub>
                <m:r>
                  <w:rPr>
                    <w:rFonts w:ascii="Cambria Math" w:cs="Cambria Math" w:eastAsia="Cambria Math" w:hAnsi="Cambria Math"/>
                  </w:rPr>
                  <m:t xml:space="preserve">m(mes) </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m(réf) </m:t>
                </m:r>
              </m:sub>
            </m:sSub>
            <m:r>
              <w:rPr>
                <w:rFonts w:ascii="Cambria Math" w:cs="Cambria Math" w:eastAsia="Cambria Math" w:hAnsi="Cambria Math"/>
              </w:rPr>
              <m:t xml:space="preserve">|</m:t>
            </m:r>
          </m:num>
          <m:den>
            <m:r>
              <w:rPr>
                <w:rFonts w:ascii="Cambria Math" w:cs="Cambria Math" w:eastAsia="Cambria Math" w:hAnsi="Cambria Math"/>
              </w:rPr>
              <m:t xml:space="preserve">u(</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m(mes)</m:t>
                </m:r>
              </m:sub>
            </m:sSub>
            <m:r>
              <w:rPr>
                <w:rFonts w:ascii="Cambria Math" w:cs="Cambria Math" w:eastAsia="Cambria Math" w:hAnsi="Cambria Math"/>
              </w:rPr>
              <m:t xml:space="preserve">)</m:t>
            </m:r>
          </m:den>
        </m:f>
      </m:oMath>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avec : </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854"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2a6099"/>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2a6099"/>
          <w:sz w:val="20"/>
          <w:szCs w:val="20"/>
          <w:u w:val="none"/>
          <w:shd w:fill="auto" w:val="clear"/>
          <w:vertAlign w:val="subscript"/>
          <w:rtl w:val="0"/>
        </w:rPr>
        <w:t xml:space="preserve">m(mes)</w:t>
      </w:r>
      <w:sdt>
        <w:sdtPr>
          <w:tag w:val="goog_rdk_0"/>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 : la concentration en masse obtenue expérimentalement en g∙L</w:t>
          </w:r>
        </w:sdtContent>
      </w:sdt>
      <w:r w:rsidDel="00000000" w:rsidR="00000000" w:rsidRPr="00000000">
        <w:rPr>
          <w:rFonts w:ascii="Arial" w:cs="Arial" w:eastAsia="Arial" w:hAnsi="Arial"/>
          <w:b w:val="0"/>
          <w:i w:val="0"/>
          <w:smallCaps w:val="0"/>
          <w:strike w:val="0"/>
          <w:color w:val="2a6099"/>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854"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2a6099"/>
          <w:sz w:val="20"/>
          <w:szCs w:val="20"/>
          <w:u w:val="none"/>
          <w:shd w:fill="auto" w:val="clear"/>
          <w:vertAlign w:val="baseline"/>
          <w:rtl w:val="0"/>
        </w:rPr>
        <w:t xml:space="preserve">C</w:t>
      </w:r>
      <w:r w:rsidDel="00000000" w:rsidR="00000000" w:rsidRPr="00000000">
        <w:rPr>
          <w:rFonts w:ascii="Arial" w:cs="Arial" w:eastAsia="Arial" w:hAnsi="Arial"/>
          <w:b w:val="0"/>
          <w:i w:val="1"/>
          <w:smallCaps w:val="0"/>
          <w:strike w:val="0"/>
          <w:color w:val="2a6099"/>
          <w:sz w:val="20"/>
          <w:szCs w:val="20"/>
          <w:u w:val="none"/>
          <w:shd w:fill="auto" w:val="clear"/>
          <w:vertAlign w:val="subscript"/>
          <w:rtl w:val="0"/>
        </w:rPr>
        <w:t xml:space="preserve">m(réf)</w:t>
      </w:r>
      <w:sdt>
        <w:sdtPr>
          <w:tag w:val="goog_rdk_1"/>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 : la concentration de référence en g∙L</w:t>
          </w:r>
        </w:sdtContent>
      </w:sdt>
      <w:r w:rsidDel="00000000" w:rsidR="00000000" w:rsidRPr="00000000">
        <w:rPr>
          <w:rFonts w:ascii="Arial" w:cs="Arial" w:eastAsia="Arial" w:hAnsi="Arial"/>
          <w:b w:val="0"/>
          <w:i w:val="0"/>
          <w:smallCaps w:val="0"/>
          <w:strike w:val="0"/>
          <w:color w:val="2a6099"/>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 </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64" w:lineRule="auto"/>
        <w:ind w:left="1854"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2a6099"/>
          <w:sz w:val="20"/>
          <w:szCs w:val="20"/>
          <w:u w:val="none"/>
          <w:shd w:fill="auto" w:val="clear"/>
          <w:vertAlign w:val="baseline"/>
          <w:rtl w:val="0"/>
        </w:rPr>
        <w:t xml:space="preserve">u(C</w:t>
      </w:r>
      <w:r w:rsidDel="00000000" w:rsidR="00000000" w:rsidRPr="00000000">
        <w:rPr>
          <w:rFonts w:ascii="Arial" w:cs="Arial" w:eastAsia="Arial" w:hAnsi="Arial"/>
          <w:b w:val="0"/>
          <w:i w:val="1"/>
          <w:smallCaps w:val="0"/>
          <w:strike w:val="0"/>
          <w:color w:val="2a6099"/>
          <w:sz w:val="20"/>
          <w:szCs w:val="20"/>
          <w:u w:val="none"/>
          <w:shd w:fill="auto" w:val="clear"/>
          <w:vertAlign w:val="subscript"/>
          <w:rtl w:val="0"/>
        </w:rPr>
        <w:t xml:space="preserve">m(mes)</w:t>
      </w:r>
      <w:r w:rsidDel="00000000" w:rsidR="00000000" w:rsidRPr="00000000">
        <w:rPr>
          <w:rFonts w:ascii="Arial" w:cs="Arial" w:eastAsia="Arial" w:hAnsi="Arial"/>
          <w:b w:val="0"/>
          <w:i w:val="1"/>
          <w:smallCaps w:val="0"/>
          <w:strike w:val="0"/>
          <w:color w:val="2a6099"/>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 l’incertitude-type sur le résultat expérimental</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1494"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cette situation, le critère de validation utilisé est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Lorsque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z</w:t>
      </w: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 ≤ 2, on considère que le résultat de la mesure est compatible avec la valeur de référence ;</w:t>
          </w:r>
        </w:sdtContent>
      </w:sdt>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Lorsque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z</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&gt; 2, on considère qu'il ne l'est pas.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bookmarkStart w:colFirst="0" w:colLast="0" w:name="_heading=h.2et92p0" w:id="4"/>
      <w:bookmarkEnd w:id="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Dilution de la solution à doser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solution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ancienne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concentration en masse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m(ancienne)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dont on souhaite étudier la stabilité dans le temps, doit au préalable être diluée d’un facteur 20, avant d’être dosée par étalonnage utilisant la conductimétrie.</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64" w:lineRule="auto"/>
        <w:ind w:left="792" w:right="0" w:hanging="432"/>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À partir des informations mises à disposition, justifier de la nécessité de cette étape.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2a6099"/>
          <w:sz w:val="20"/>
          <w:szCs w:val="20"/>
          <w:u w:val="none"/>
          <w:shd w:fill="auto" w:val="clear"/>
          <w:vertAlign w:val="subscript"/>
          <w:rtl w:val="0"/>
        </w:rPr>
        <w:t xml:space="preserve">m(ancienne)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m/</w:t>
      </w:r>
      <w:r w:rsidDel="00000000" w:rsidR="00000000" w:rsidRPr="00000000">
        <w:rPr>
          <w:rFonts w:ascii="Arial" w:cs="Arial" w:eastAsia="Arial" w:hAnsi="Arial"/>
          <w:b w:val="0"/>
          <w:i w:val="1"/>
          <w:smallCaps w:val="0"/>
          <w:strike w:val="0"/>
          <w:color w:val="2a6099"/>
          <w:sz w:val="20"/>
          <w:szCs w:val="20"/>
          <w:u w:val="none"/>
          <w:shd w:fill="auto" w:val="clear"/>
          <w:vertAlign w:val="baseline"/>
          <w:rtl w:val="0"/>
        </w:rPr>
        <w:t xml:space="preserve">V =</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0,25/50*10</w:t>
      </w:r>
      <w:r w:rsidDel="00000000" w:rsidR="00000000" w:rsidRPr="00000000">
        <w:rPr>
          <w:rFonts w:ascii="Arial" w:cs="Arial" w:eastAsia="Arial" w:hAnsi="Arial"/>
          <w:b w:val="0"/>
          <w:i w:val="0"/>
          <w:smallCaps w:val="0"/>
          <w:strike w:val="0"/>
          <w:color w:val="2a6099"/>
          <w:sz w:val="20"/>
          <w:szCs w:val="20"/>
          <w:u w:val="none"/>
          <w:shd w:fill="auto" w:val="clear"/>
          <w:vertAlign w:val="superscript"/>
          <w:rtl w:val="0"/>
        </w:rPr>
        <w:t xml:space="preserve">-3</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 5 g.L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La concentration en masse </w:t>
      </w:r>
      <w:r w:rsidDel="00000000" w:rsidR="00000000" w:rsidRPr="00000000">
        <w:rPr>
          <w:color w:val="2a6099"/>
          <w:rtl w:val="0"/>
        </w:rPr>
        <w:t xml:space="preserve">S ancienne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est </w:t>
      </w:r>
      <w:r w:rsidDel="00000000" w:rsidR="00000000" w:rsidRPr="00000000">
        <w:rPr>
          <w:color w:val="2a6099"/>
          <w:rtl w:val="0"/>
        </w:rPr>
        <w:t xml:space="preserve">comprise entre 2.5g/L et</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250g.L. Donc, d’après le tableau, </w:t>
      </w:r>
      <w:r w:rsidDel="00000000" w:rsidR="00000000" w:rsidRPr="00000000">
        <w:rPr>
          <w:color w:val="2a6099"/>
          <w:rtl w:val="0"/>
        </w:rPr>
        <w:t xml:space="preserve">cette solution</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w:t>
      </w:r>
      <w:r w:rsidDel="00000000" w:rsidR="00000000" w:rsidRPr="00000000">
        <w:rPr>
          <w:color w:val="2a6099"/>
          <w:rtl w:val="0"/>
        </w:rPr>
        <w:t xml:space="preserve">est</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dangereuse pour l’environnement. Pour </w:t>
      </w:r>
      <w:r w:rsidDel="00000000" w:rsidR="00000000" w:rsidRPr="00000000">
        <w:rPr>
          <w:color w:val="2a6099"/>
          <w:rtl w:val="0"/>
        </w:rPr>
        <w:t xml:space="preserve">éviter cela, on</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la dilue par 20 ce qui donne une concentration de 0.</w:t>
      </w:r>
      <w:r w:rsidDel="00000000" w:rsidR="00000000" w:rsidRPr="00000000">
        <w:rPr>
          <w:color w:val="2a6099"/>
          <w:rtl w:val="0"/>
        </w:rPr>
        <w:t xml:space="preserve">25</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g.L</w:t>
      </w:r>
      <w:r w:rsidDel="00000000" w:rsidR="00000000" w:rsidRPr="00000000">
        <w:rPr>
          <w:color w:val="2a6099"/>
          <w:rtl w:val="0"/>
        </w:rPr>
        <w:t xml:space="preserve"> pour la solution diluée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Grâce à cette dilution, </w:t>
      </w:r>
      <w:r w:rsidDel="00000000" w:rsidR="00000000" w:rsidRPr="00000000">
        <w:rPr>
          <w:color w:val="2a6099"/>
          <w:rtl w:val="0"/>
        </w:rPr>
        <w:t xml:space="preserve">la nouvelle solution ne présente aucun danger. </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92"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64" w:lineRule="auto"/>
        <w:ind w:left="792" w:right="0" w:hanging="4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Proposer un protocole permettant d’obtenir la solution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diluée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à partir de la solution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0"/>
          <w:i w:val="0"/>
          <w:smallCaps w:val="0"/>
          <w:strike w:val="0"/>
          <w:color w:val="000000"/>
          <w:sz w:val="20"/>
          <w:szCs w:val="20"/>
          <w:u w:val="none"/>
          <w:shd w:fill="auto" w:val="clear"/>
          <w:vertAlign w:val="subscript"/>
          <w:rtl w:val="0"/>
        </w:rPr>
        <w:t xml:space="preserve">ancienne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utilisant le matériel à disposition. Préciser les protections à utiliser.</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Tout d’abord, avant de manipuler la solution ancienne, on se protège en mettant notre blouse, des gants et des lunettes. Ensuite, on place la solution S</w:t>
      </w:r>
      <w:r w:rsidDel="00000000" w:rsidR="00000000" w:rsidRPr="00000000">
        <w:rPr>
          <w:rFonts w:ascii="Arial" w:cs="Arial" w:eastAsia="Arial" w:hAnsi="Arial"/>
          <w:b w:val="0"/>
          <w:i w:val="0"/>
          <w:smallCaps w:val="0"/>
          <w:strike w:val="0"/>
          <w:color w:val="2a6099"/>
          <w:sz w:val="20"/>
          <w:szCs w:val="20"/>
          <w:u w:val="none"/>
          <w:shd w:fill="auto" w:val="clear"/>
          <w:vertAlign w:val="subscript"/>
          <w:rtl w:val="0"/>
        </w:rPr>
        <w:t xml:space="preserve">ancienne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dans un bécher puis on prélève grâce à une pipette jaugée de 5 mL, </w:t>
      </w:r>
      <w:r w:rsidDel="00000000" w:rsidR="00000000" w:rsidRPr="00000000">
        <w:rPr>
          <w:color w:val="2a6099"/>
          <w:rtl w:val="0"/>
        </w:rPr>
        <w:t xml:space="preserve">5 mL</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de cette solution qu’on introduit ensuite dans une fiole jaugée de 100 mL. On remplit avec de l’eau distillé</w:t>
      </w:r>
      <w:r w:rsidDel="00000000" w:rsidR="00000000" w:rsidRPr="00000000">
        <w:rPr>
          <w:color w:val="2a6099"/>
          <w:rtl w:val="0"/>
        </w:rPr>
        <w:t xml:space="preserve">e </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jusqu’au 3/4 puis on bouche et agite la fiole.</w:t>
      </w:r>
      <w:r w:rsidDel="00000000" w:rsidR="00000000" w:rsidRPr="00000000">
        <w:rPr>
          <w:color w:val="2a6099"/>
          <w:rtl w:val="0"/>
        </w:rPr>
        <w:t xml:space="preserve"> Ensuite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on remplit jusqu’au trait de jauge puis on bouche et agite à nouveau.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1"/>
          <w:i w:val="0"/>
          <w:smallCaps w:val="0"/>
          <w:strike w:val="0"/>
          <w:color w:val="2a6099"/>
          <w:sz w:val="20"/>
          <w:szCs w:val="20"/>
          <w:u w:val="none"/>
          <w:shd w:fill="auto" w:val="clear"/>
          <w:vertAlign w:val="baseline"/>
        </w:rPr>
      </w:pP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A ! D’autres valeurs sont possibles pour la pipette et la fiole jaugée en fonction de ce que vous au</w:t>
      </w:r>
      <w:r w:rsidDel="00000000" w:rsidR="00000000" w:rsidRPr="00000000">
        <w:rPr>
          <w:b w:val="1"/>
          <w:color w:val="2a6099"/>
          <w:rtl w:val="0"/>
        </w:rPr>
        <w:t xml:space="preserve">r</w:t>
      </w:r>
      <w:r w:rsidDel="00000000" w:rsidR="00000000" w:rsidRPr="00000000">
        <w:rPr>
          <w:rFonts w:ascii="Arial" w:cs="Arial" w:eastAsia="Arial" w:hAnsi="Arial"/>
          <w:b w:val="1"/>
          <w:i w:val="0"/>
          <w:smallCaps w:val="0"/>
          <w:strike w:val="0"/>
          <w:color w:val="2a6099"/>
          <w:sz w:val="20"/>
          <w:szCs w:val="20"/>
          <w:u w:val="none"/>
          <w:shd w:fill="auto" w:val="clear"/>
          <w:vertAlign w:val="baseline"/>
          <w:rtl w:val="0"/>
        </w:rPr>
        <w:t xml:space="preserve">ez le jour du tp. Il faut juste que le facteur de dilution soit bien de 20.</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03"/>
        <w:gridCol w:w="1421"/>
        <w:tblGridChange w:id="0">
          <w:tblGrid>
            <w:gridCol w:w="1416"/>
            <w:gridCol w:w="6803"/>
            <w:gridCol w:w="1421"/>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1">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73">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74">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77">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64" w:lineRule="auto"/>
        <w:ind w:left="792" w:right="0" w:hanging="4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cette dilution.</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03"/>
        <w:gridCol w:w="1421"/>
        <w:tblGridChange w:id="0">
          <w:tblGrid>
            <w:gridCol w:w="1416"/>
            <w:gridCol w:w="6803"/>
            <w:gridCol w:w="1421"/>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B">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7D">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7E">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80">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Dosage de la solution diluée S</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diluée</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minutes conseillées)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64" w:lineRule="auto"/>
        <w:ind w:left="792" w:right="0" w:hanging="4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Proposer un protocole pour réaliser un dosage conductimétrique de la solution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diluée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par étalonnage. Indiquer les protections à utiliser. Le protocole devra préciser les mesures à effectuer ainsi que leur exploitation sur ordinateur à l’aide d’un logiciel tableur-grapheur.</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Tout d’abord, avant de réaliser le dosage conductimétrique des différentes solutions, on garde notre blouse, nos gants et nos lunettes. On mesure pour chaque solution étalon (S1, S2, S3, S4 de concentration connues grâce à tableau énoncé) leur conductivité grâce à un conductimètre. On fait pareil pour la solution diluée. Puis on rentre les valeurs de la concentration et de la conductivité des solutions S1, S2, S3 et S4 sur Regressi.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Enfin, on trace grâce au logiciel la conductivité en fonction de C et on doit obtenir une fonction linéaire car la conductivité = k*C. </w:t>
      </w:r>
    </w:p>
    <w:tbl>
      <w:tblPr>
        <w:tblStyle w:val="Table6"/>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03"/>
        <w:gridCol w:w="1421"/>
        <w:tblGridChange w:id="0">
          <w:tblGrid>
            <w:gridCol w:w="1416"/>
            <w:gridCol w:w="6803"/>
            <w:gridCol w:w="1421"/>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87">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89">
            <w:pPr>
              <w:jc w:val="center"/>
              <w:rPr>
                <w:color w:val="000000"/>
              </w:rPr>
            </w:pPr>
            <w:r w:rsidDel="00000000" w:rsidR="00000000" w:rsidRPr="00000000">
              <w:rPr>
                <w:rtl w:val="0"/>
              </w:rPr>
            </w:r>
          </w:p>
        </w:tc>
      </w:tr>
      <w:tr>
        <w:trPr>
          <w:cantSplit w:val="0"/>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8A">
            <w:pPr>
              <w:jc w:val="center"/>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ou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8D">
            <w:pPr>
              <w:jc w:val="center"/>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8E">
      <w:pPr>
        <w:spacing w:line="240" w:lineRule="auto"/>
        <w:jc w:val="left"/>
        <w:rPr>
          <w:color w:val="00000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64" w:lineRule="auto"/>
        <w:ind w:left="792" w:right="0" w:hanging="43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le protocole et modéliser la courbe obtenue par une fonction mathématique adaptée.</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Dans le cadre de cette étude, on considère que le critère pour valider le modèle choisi est le suivant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color="000000" w:space="7" w:sz="4" w:val="single"/>
          <w:left w:color="000000" w:space="4" w:sz="4" w:val="single"/>
          <w:bottom w:color="000000" w:space="1" w:sz="4" w:val="single"/>
          <w:right w:color="000000" w:space="4" w:sz="4" w:val="single"/>
          <w:between w:space="0" w:sz="0" w:val="nil"/>
        </w:pBdr>
        <w:shd w:fill="auto" w:val="clear"/>
        <w:spacing w:after="0" w:before="0" w:line="264" w:lineRule="auto"/>
        <w:ind w:left="0" w:right="0" w:firstLine="0"/>
        <w:jc w:val="both"/>
        <w:rPr>
          <w:rFonts w:ascii="Arial" w:cs="Arial" w:eastAsia="Arial" w:hAnsi="Arial"/>
          <w:b w:val="1"/>
          <w:i w:val="0"/>
          <w:smallCaps w:val="0"/>
          <w:strike w:val="0"/>
          <w:color w:val="1155cc"/>
          <w:sz w:val="20"/>
          <w:szCs w:val="20"/>
          <w:u w:val="none"/>
          <w:shd w:fill="auto" w:val="clear"/>
          <w:vertAlign w:val="baseline"/>
        </w:rPr>
      </w:pPr>
      <w:r w:rsidDel="00000000" w:rsidR="00000000" w:rsidRPr="00000000">
        <w:rPr>
          <w:b w:val="1"/>
          <w:color w:val="1155cc"/>
          <w:rtl w:val="0"/>
        </w:rPr>
        <w:t xml:space="preserve">La courbe obtenue est une droite passant par l’origine.</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Indiquer si le modèle choisi est validé, d’après le critère donné.</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1155cc"/>
          <w:sz w:val="20"/>
          <w:szCs w:val="20"/>
          <w:u w:val="none"/>
          <w:shd w:fill="auto" w:val="clear"/>
          <w:vertAlign w:val="baseline"/>
        </w:rPr>
      </w:pPr>
      <w:r w:rsidDel="00000000" w:rsidR="00000000" w:rsidRPr="00000000">
        <w:rPr>
          <w:color w:val="1155cc"/>
          <w:rtl w:val="0"/>
        </w:rPr>
        <w:t xml:space="preserve">Si on obtient une droite passant par l’origine alors le modèle choisi est validé.</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Déterminer la valeur de la concentration en masse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m(diluée)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solution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diluée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puis en déduire la valeur de la concentration en masse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m(ancienne)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la solution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w:t>
      </w:r>
      <w:r w:rsidDel="00000000" w:rsidR="00000000" w:rsidRPr="00000000">
        <w:rPr>
          <w:rFonts w:ascii="Arial" w:cs="Arial" w:eastAsia="Arial" w:hAnsi="Arial"/>
          <w:b w:val="1"/>
          <w:i w:val="0"/>
          <w:smallCaps w:val="0"/>
          <w:strike w:val="0"/>
          <w:color w:val="000000"/>
          <w:sz w:val="20"/>
          <w:szCs w:val="20"/>
          <w:u w:val="none"/>
          <w:shd w:fill="auto" w:val="clear"/>
          <w:vertAlign w:val="subscript"/>
          <w:rtl w:val="0"/>
        </w:rPr>
        <w:t xml:space="preserve">ancienne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Grâce à la valeur mesurée de la conductivité de la solution diluée, on utilise, sur  regressi, l’outil réticule libre pour pouvoir déterminer graphiquement la concentration de cette solution.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Puis pour calculer la concentration de la solution ancienne, on utilise la relation :  Cmère*Vmère = Cfille*Vfille ce qui nous donne Cmère = Cfille* Vfille / Vmère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Cfille = Cm diluée      Vfille = Vdiluée = 100 mL    et    Vmère = 5 mL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tl w:val="0"/>
        </w:rPr>
      </w:r>
    </w:p>
    <w:tbl>
      <w:tblPr>
        <w:tblStyle w:val="Table7"/>
        <w:tblW w:w="9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6803"/>
        <w:gridCol w:w="1421"/>
        <w:tblGridChange w:id="0">
          <w:tblGrid>
            <w:gridCol w:w="1416"/>
            <w:gridCol w:w="6803"/>
            <w:gridCol w:w="1421"/>
          </w:tblGrid>
        </w:tblGridChange>
      </w:tblGrid>
      <w:tr>
        <w:trPr>
          <w:cantSplit w:val="0"/>
          <w:tblHeader w:val="0"/>
        </w:trPr>
        <w:tc>
          <w:tcPr>
            <w:tcBorders>
              <w:top w:color="000000" w:space="0" w:sz="18" w:val="single"/>
              <w:left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9C">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right w:color="000000" w:space="0" w:sz="18" w:val="single"/>
            </w:tcBorders>
            <w:shd w:fill="d9d9d9" w:val="clear"/>
            <w:vAlign w:val="center"/>
          </w:tcPr>
          <w:p w:rsidR="00000000" w:rsidDel="00000000" w:rsidP="00000000" w:rsidRDefault="00000000" w:rsidRPr="00000000" w14:paraId="0000009E">
            <w:pPr>
              <w:jc w:val="center"/>
              <w:rPr>
                <w:color w:val="000000"/>
              </w:rPr>
            </w:pPr>
            <w:r w:rsidDel="00000000" w:rsidR="00000000" w:rsidRPr="00000000">
              <w:rPr>
                <w:rtl w:val="0"/>
              </w:rPr>
            </w:r>
          </w:p>
        </w:tc>
      </w:tr>
      <w:tr>
        <w:trPr>
          <w:cantSplit w:val="0"/>
          <w:trHeight w:val="973" w:hRule="atLeast"/>
          <w:tblHeader w:val="0"/>
        </w:trPr>
        <w:tc>
          <w:tcPr>
            <w:tcBorders>
              <w:top w:color="000000" w:space="0" w:sz="6" w:val="single"/>
              <w:left w:color="000000" w:space="0" w:sz="18" w:val="single"/>
              <w:bottom w:color="000000" w:space="0" w:sz="18" w:val="single"/>
              <w:right w:color="000000" w:space="0" w:sz="6" w:val="single"/>
            </w:tcBorders>
            <w:shd w:fill="auto" w:val="clear"/>
            <w:vAlign w:val="center"/>
          </w:tcPr>
          <w:p w:rsidR="00000000" w:rsidDel="00000000" w:rsidP="00000000" w:rsidRDefault="00000000" w:rsidRPr="00000000" w14:paraId="0000009F">
            <w:pPr>
              <w:jc w:val="center"/>
              <w:rPr>
                <w:color w:val="000000"/>
                <w:sz w:val="96"/>
                <w:szCs w:val="96"/>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vAlign w:val="cente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left w:color="000000" w:space="0" w:sz="6" w:val="single"/>
              <w:bottom w:color="000000" w:space="0" w:sz="18" w:val="single"/>
              <w:right w:color="000000" w:space="0" w:sz="18" w:val="single"/>
            </w:tcBorders>
            <w:shd w:fill="auto" w:val="clear"/>
            <w:vAlign w:val="center"/>
          </w:tcPr>
          <w:p w:rsidR="00000000" w:rsidDel="00000000" w:rsidP="00000000" w:rsidRDefault="00000000" w:rsidRPr="00000000" w14:paraId="000000A1">
            <w:pPr>
              <w:jc w:val="center"/>
              <w:rPr>
                <w:color w:val="000000"/>
              </w:rPr>
            </w:pPr>
            <w:r w:rsidDel="00000000" w:rsidR="00000000" w:rsidRPr="00000000">
              <w:rPr>
                <w:rFonts w:ascii="Noto Sans Symbols" w:cs="Noto Sans Symbols" w:eastAsia="Noto Sans Symbols" w:hAnsi="Noto Sans Symbols"/>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36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Exploitation des résultats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 conseillées)</w:t>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considère que, dans les conditions de la manipulation, l’incertitude-type sur la concentration mesurée </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u(C</w:t>
      </w:r>
      <w:r w:rsidDel="00000000" w:rsidR="00000000" w:rsidRPr="00000000">
        <w:rPr>
          <w:rFonts w:ascii="Arial" w:cs="Arial" w:eastAsia="Arial" w:hAnsi="Arial"/>
          <w:b w:val="1"/>
          <w:i w:val="1"/>
          <w:smallCaps w:val="0"/>
          <w:strike w:val="0"/>
          <w:color w:val="000000"/>
          <w:sz w:val="20"/>
          <w:szCs w:val="20"/>
          <w:u w:val="none"/>
          <w:shd w:fill="auto" w:val="clear"/>
          <w:vertAlign w:val="subscript"/>
          <w:rtl w:val="0"/>
        </w:rPr>
        <w:t xml:space="preserve">m(ancienne)</w:t>
      </w:r>
      <w:r w:rsidDel="00000000" w:rsidR="00000000" w:rsidRPr="00000000">
        <w:rPr>
          <w:rFonts w:ascii="Arial" w:cs="Arial" w:eastAsia="Arial" w:hAnsi="Arial"/>
          <w:b w:val="1"/>
          <w:i w:val="1"/>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est estimée à 0,1 g·L</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Conclure sur la dégradation ou non de la solution étudiée.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spacing w:line="240" w:lineRule="auto"/>
        <w:rPr>
          <w:color w:val="2a6099"/>
        </w:rPr>
      </w:pPr>
      <w:bookmarkStart w:colFirst="0" w:colLast="0" w:name="_heading=h.3dy6vkm" w:id="6"/>
      <w:bookmarkEnd w:id="6"/>
      <w:r w:rsidDel="00000000" w:rsidR="00000000" w:rsidRPr="00000000">
        <w:rPr>
          <w:color w:val="2a6099"/>
          <w:rtl w:val="0"/>
        </w:rPr>
        <w:t xml:space="preserve">On </w:t>
      </w:r>
      <w:r w:rsidDel="00000000" w:rsidR="00000000" w:rsidRPr="00000000">
        <w:rPr>
          <w:color w:val="2a6099"/>
          <w:sz w:val="20"/>
          <w:szCs w:val="20"/>
          <w:rtl w:val="0"/>
        </w:rPr>
        <w:t xml:space="preserve">utilise cette formule : </w:t>
      </w:r>
      <w:r w:rsidDel="00000000" w:rsidR="00000000" w:rsidRPr="00000000">
        <w:rPr>
          <w:color w:val="2a6099"/>
          <w:rtl w:val="0"/>
        </w:rPr>
        <w:t xml:space="preserve"> </w:t>
      </w:r>
      <m:oMath>
        <m:r>
          <w:rPr>
            <w:rFonts w:ascii="Cambria Math" w:cs="Cambria Math" w:eastAsia="Cambria Math" w:hAnsi="Cambria Math"/>
          </w:rPr>
          <m:t xml:space="preserve">z = </m:t>
        </m:r>
        <m:f>
          <m:fPr>
            <m:ctrlPr>
              <w:rPr>
                <w:rFonts w:ascii="Cambria Math" w:cs="Cambria Math" w:eastAsia="Cambria Math" w:hAnsi="Cambria Math"/>
              </w:rPr>
            </m:ctrlPr>
          </m:fPr>
          <m:num>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 C</m:t>
                </m:r>
              </m:e>
              <m:sub>
                <m:r>
                  <w:rPr>
                    <w:rFonts w:ascii="Cambria Math" w:cs="Cambria Math" w:eastAsia="Cambria Math" w:hAnsi="Cambria Math"/>
                  </w:rPr>
                  <m:t xml:space="preserve">m(mes) </m:t>
                </m:r>
              </m:sub>
            </m:sSub>
            <m:r>
              <w:rPr>
                <w:rFonts w:ascii="Cambria Math" w:cs="Cambria Math" w:eastAsia="Cambria Math" w:hAnsi="Cambria Math"/>
              </w:rPr>
              <m:t xml:space="preserve">– </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m(réf) </m:t>
                </m:r>
              </m:sub>
            </m:sSub>
            <m:r>
              <w:rPr>
                <w:rFonts w:ascii="Cambria Math" w:cs="Cambria Math" w:eastAsia="Cambria Math" w:hAnsi="Cambria Math"/>
              </w:rPr>
              <m:t xml:space="preserve">|</m:t>
            </m:r>
          </m:num>
          <m:den>
            <m:r>
              <w:rPr>
                <w:rFonts w:ascii="Cambria Math" w:cs="Cambria Math" w:eastAsia="Cambria Math" w:hAnsi="Cambria Math"/>
              </w:rPr>
              <m:t xml:space="preserve">u(</m:t>
            </m:r>
            <m:sSub>
              <m:sSubPr>
                <m:ctrlPr>
                  <w:rPr>
                    <w:rFonts w:ascii="Cambria Math" w:cs="Cambria Math" w:eastAsia="Cambria Math" w:hAnsi="Cambria Math"/>
                  </w:rPr>
                </m:ctrlPr>
              </m:sSubPr>
              <m:e>
                <m:r>
                  <w:rPr>
                    <w:rFonts w:ascii="Cambria Math" w:cs="Cambria Math" w:eastAsia="Cambria Math" w:hAnsi="Cambria Math"/>
                  </w:rPr>
                  <m:t xml:space="preserve">C</m:t>
                </m:r>
              </m:e>
              <m:sub>
                <m:r>
                  <w:rPr>
                    <w:rFonts w:ascii="Cambria Math" w:cs="Cambria Math" w:eastAsia="Cambria Math" w:hAnsi="Cambria Math"/>
                  </w:rPr>
                  <m:t xml:space="preserve">m(mes)</m:t>
                </m:r>
              </m:sub>
            </m:sSub>
            <m:r>
              <w:rPr>
                <w:rFonts w:ascii="Cambria Math" w:cs="Cambria Math" w:eastAsia="Cambria Math" w:hAnsi="Cambria Math"/>
              </w:rPr>
              <m:t xml:space="preserve">)</m:t>
            </m:r>
          </m:den>
        </m:f>
      </m:oMath>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Cm(mes) = la concentration de la solution ancienne obtenue à la question précédente → la concentration actuelle </w:t>
          </w:r>
        </w:sdtContent>
      </w:sdt>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Cm(ref) = la concentration de la solution ancienne </w:t>
      </w:r>
      <w:r w:rsidDel="00000000" w:rsidR="00000000" w:rsidRPr="00000000">
        <w:rPr>
          <w:color w:val="2a6099"/>
          <w:rtl w:val="0"/>
        </w:rPr>
        <w:t xml:space="preserve">calculée</w:t>
      </w: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 à la question 1 ( 500 g.</w:t>
      </w:r>
      <w:r w:rsidDel="00000000" w:rsidR="00000000" w:rsidRPr="00000000">
        <w:rPr>
          <w:color w:val="2a6099"/>
          <w:rtl w:val="0"/>
        </w:rPr>
        <w:t xml:space="preserve"> L</w:t>
      </w:r>
      <w:sdt>
        <w:sdtPr>
          <w:tag w:val="goog_rdk_4"/>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 ) →c’est la valeur de la concentration plusieurs jours avant le tp selon l’énoncé </w:t>
          </w:r>
        </w:sdtContent>
      </w:sdt>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u(Cm(mes) = 0,1 g.L</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2a6099"/>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Conclure grâce à l’énoncé : Lorsque </w:t>
      </w:r>
      <w:r w:rsidDel="00000000" w:rsidR="00000000" w:rsidRPr="00000000">
        <w:rPr>
          <w:rFonts w:ascii="Arial" w:cs="Arial" w:eastAsia="Arial" w:hAnsi="Arial"/>
          <w:b w:val="0"/>
          <w:i w:val="1"/>
          <w:smallCaps w:val="0"/>
          <w:strike w:val="0"/>
          <w:color w:val="2a6099"/>
          <w:sz w:val="20"/>
          <w:szCs w:val="20"/>
          <w:u w:val="none"/>
          <w:shd w:fill="auto" w:val="clear"/>
          <w:vertAlign w:val="baseline"/>
          <w:rtl w:val="0"/>
        </w:rPr>
        <w:t xml:space="preserve">z</w:t>
      </w:r>
      <w:sdt>
        <w:sdtPr>
          <w:tag w:val="goog_rdk_5"/>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 ≤ 2, on considère que le résultat de la mesure est compatible avec la valeur de référence → pas de dégradation </w:t>
          </w:r>
        </w:sdtContent>
      </w:sdt>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2a6099"/>
          <w:sz w:val="20"/>
          <w:szCs w:val="20"/>
          <w:u w:val="none"/>
          <w:shd w:fill="auto" w:val="clear"/>
          <w:vertAlign w:val="baseline"/>
          <w:rtl w:val="0"/>
        </w:rPr>
        <w:t xml:space="preserve">Lorsque </w:t>
      </w:r>
      <w:r w:rsidDel="00000000" w:rsidR="00000000" w:rsidRPr="00000000">
        <w:rPr>
          <w:rFonts w:ascii="Arial" w:cs="Arial" w:eastAsia="Arial" w:hAnsi="Arial"/>
          <w:b w:val="0"/>
          <w:i w:val="1"/>
          <w:smallCaps w:val="0"/>
          <w:strike w:val="0"/>
          <w:color w:val="2a6099"/>
          <w:sz w:val="20"/>
          <w:szCs w:val="20"/>
          <w:u w:val="none"/>
          <w:shd w:fill="auto" w:val="clear"/>
          <w:vertAlign w:val="baseline"/>
          <w:rtl w:val="0"/>
        </w:rPr>
        <w:t xml:space="preserve">z</w:t>
      </w:r>
      <w:sdt>
        <w:sdtPr>
          <w:tag w:val="goog_rdk_6"/>
        </w:sdtPr>
        <w:sdtContent>
          <w:r w:rsidDel="00000000" w:rsidR="00000000" w:rsidRPr="00000000">
            <w:rPr>
              <w:rFonts w:ascii="Arial Unicode MS" w:cs="Arial Unicode MS" w:eastAsia="Arial Unicode MS" w:hAnsi="Arial Unicode MS"/>
              <w:b w:val="0"/>
              <w:i w:val="0"/>
              <w:smallCaps w:val="0"/>
              <w:strike w:val="0"/>
              <w:color w:val="2a6099"/>
              <w:sz w:val="20"/>
              <w:szCs w:val="20"/>
              <w:u w:val="none"/>
              <w:shd w:fill="auto" w:val="clear"/>
              <w:vertAlign w:val="baseline"/>
              <w:rtl w:val="0"/>
            </w:rPr>
            <w:t xml:space="preserve"> &gt; 2, on considère qu'il ne l'est pas → dégradation </w:t>
          </w:r>
        </w:sdtContent>
      </w:sdt>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bookmarkStart w:colFirst="0" w:colLast="0" w:name="_heading=h.1t3h5sf" w:id="7"/>
      <w:bookmarkEnd w:id="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Défaire le montage et ranger la paillasse avant de quitter la salle.</w:t>
      </w:r>
      <w:r w:rsidDel="00000000" w:rsidR="00000000" w:rsidRPr="00000000">
        <w:rPr>
          <w:rtl w:val="0"/>
        </w:rPr>
      </w:r>
    </w:p>
    <w:sectPr>
      <w:headerReference r:id="rId8" w:type="default"/>
      <w:footerReference r:id="rId9" w:type="default"/>
      <w:pgSz w:h="16838" w:w="11906" w:orient="portrait"/>
      <w:pgMar w:bottom="851" w:top="908"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CONSERVATION D’UNE SOLUTION ANTISEPTIQUE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2">
    <w:lvl w:ilvl="0">
      <w:start w:val="1"/>
      <w:numFmt w:val="bullet"/>
      <w:lvlText w:val=""/>
      <w:lvlJc w:val="left"/>
      <w:pPr>
        <w:ind w:left="1854" w:hanging="360"/>
      </w:pPr>
      <w:rPr>
        <w:b w:val="1"/>
        <w:sz w:val="24"/>
        <w:szCs w:val="24"/>
      </w:rPr>
    </w:lvl>
    <w:lvl w:ilvl="1">
      <w:start w:val="1"/>
      <w:numFmt w:val="bullet"/>
      <w:lvlText w:val="o"/>
      <w:lvlJc w:val="left"/>
      <w:pPr>
        <w:ind w:left="2574" w:hanging="360"/>
      </w:pPr>
      <w:rPr/>
    </w:lvl>
    <w:lvl w:ilvl="2">
      <w:start w:val="1"/>
      <w:numFmt w:val="bullet"/>
      <w:lvlText w:val=""/>
      <w:lvlJc w:val="left"/>
      <w:pPr>
        <w:ind w:left="3294" w:hanging="360"/>
      </w:pPr>
      <w:rPr/>
    </w:lvl>
    <w:lvl w:ilvl="3">
      <w:start w:val="1"/>
      <w:numFmt w:val="bullet"/>
      <w:lvlText w:val=""/>
      <w:lvlJc w:val="left"/>
      <w:pPr>
        <w:ind w:left="4014" w:hanging="360"/>
      </w:pPr>
      <w:rPr/>
    </w:lvl>
    <w:lvl w:ilvl="4">
      <w:start w:val="1"/>
      <w:numFmt w:val="bullet"/>
      <w:lvlText w:val="o"/>
      <w:lvlJc w:val="left"/>
      <w:pPr>
        <w:ind w:left="4734" w:hanging="360"/>
      </w:pPr>
      <w:rPr/>
    </w:lvl>
    <w:lvl w:ilvl="5">
      <w:start w:val="1"/>
      <w:numFmt w:val="bullet"/>
      <w:lvlText w:val=""/>
      <w:lvlJc w:val="left"/>
      <w:pPr>
        <w:ind w:left="5454" w:hanging="360"/>
      </w:pPr>
      <w:rPr/>
    </w:lvl>
    <w:lvl w:ilvl="6">
      <w:start w:val="1"/>
      <w:numFmt w:val="bullet"/>
      <w:lvlText w:val=""/>
      <w:lvlJc w:val="left"/>
      <w:pPr>
        <w:ind w:left="6174" w:hanging="360"/>
      </w:pPr>
      <w:rPr/>
    </w:lvl>
    <w:lvl w:ilvl="7">
      <w:start w:val="1"/>
      <w:numFmt w:val="bullet"/>
      <w:lvlText w:val="o"/>
      <w:lvlJc w:val="left"/>
      <w:pPr>
        <w:ind w:left="6894" w:hanging="360"/>
      </w:pPr>
      <w:rPr/>
    </w:lvl>
    <w:lvl w:ilvl="8">
      <w:start w:val="1"/>
      <w:numFmt w:val="bullet"/>
      <w:lvlText w:val=""/>
      <w:lvlJc w:val="left"/>
      <w:pPr>
        <w:ind w:left="7614" w:hanging="360"/>
      </w:pPr>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o"/>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o"/>
      <w:lvlJc w:val="left"/>
      <w:pPr>
        <w:ind w:left="5760" w:hanging="360"/>
      </w:pPr>
      <w:rPr/>
    </w:lvl>
    <w:lvl w:ilvl="8">
      <w:start w:val="1"/>
      <w:numFmt w:val="bullet"/>
      <w:lvlText w:val=""/>
      <w:lvlJc w:val="left"/>
      <w:pPr>
        <w:ind w:left="6480" w:hanging="360"/>
      </w:pPr>
      <w:rPr/>
    </w:lvl>
  </w:abstractNum>
  <w:abstractNum w:abstractNumId="4">
    <w:lvl w:ilvl="0">
      <w:start w:val="1"/>
      <w:numFmt w:val="decimal"/>
      <w:lvlText w:val="%1."/>
      <w:lvlJc w:val="left"/>
      <w:pPr>
        <w:ind w:left="360" w:hanging="360"/>
      </w:pPr>
      <w:rPr>
        <w:b w:val="1"/>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firstLine="0"/>
    </w:pPr>
    <w:rPr>
      <w:i w:val="1"/>
      <w:color w:val="ff000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rsid w:val="00356DD6"/>
    <w:pPr>
      <w:widowControl w:val="1"/>
      <w:bidi w:val="0"/>
      <w:spacing w:line="264" w:lineRule="auto"/>
      <w:jc w:val="both"/>
    </w:pPr>
    <w:rPr>
      <w:rFonts w:ascii="Arial" w:cs="Arial" w:eastAsia="Times New Roman" w:hAnsi="Arial"/>
      <w:color w:val="000000"/>
      <w:kern w:val="0"/>
      <w:sz w:val="20"/>
      <w:szCs w:val="20"/>
      <w:lang w:bidi="ar-SA" w:eastAsia="fr-FR" w:val="fr-FR"/>
    </w:rPr>
  </w:style>
  <w:style w:type="paragraph" w:styleId="Titre1">
    <w:name w:val="Heading 1"/>
    <w:basedOn w:val="Normal"/>
    <w:next w:val="Normal"/>
    <w:qFormat w:val="1"/>
    <w:rsid w:val="00D9409B"/>
    <w:pPr>
      <w:numPr>
        <w:ilvl w:val="0"/>
        <w:numId w:val="1"/>
      </w:numPr>
      <w:pBdr>
        <w:top w:color="000000" w:space="1" w:sz="12" w:val="single"/>
        <w:left w:color="000000" w:space="1" w:sz="12" w:val="single"/>
        <w:bottom w:color="000000" w:space="1" w:sz="12" w:val="single"/>
        <w:right w:color="000000" w:space="1" w:sz="12" w:val="single"/>
      </w:pBdr>
      <w:shd w:color="auto" w:fill="ffffff" w:val="pct15"/>
      <w:tabs>
        <w:tab w:val="clear" w:pos="709"/>
        <w:tab w:val="left" w:leader="none" w:pos="-1985"/>
        <w:tab w:val="left" w:leader="none" w:pos="567"/>
      </w:tabs>
      <w:jc w:val="center"/>
      <w:outlineLvl w:val="0"/>
    </w:pPr>
    <w:rPr>
      <w:b w:val="1"/>
      <w:bCs w:val="1"/>
    </w:rPr>
  </w:style>
  <w:style w:type="paragraph" w:styleId="Titre2">
    <w:name w:val="Heading 2"/>
    <w:basedOn w:val="Normal"/>
    <w:next w:val="Normal"/>
    <w:link w:val="Titre2Car"/>
    <w:qFormat w:val="1"/>
    <w:rsid w:val="00207C64"/>
    <w:pPr>
      <w:keepNext w:val="1"/>
      <w:numPr>
        <w:ilvl w:val="1"/>
        <w:numId w:val="1"/>
      </w:numPr>
      <w:outlineLvl w:val="1"/>
    </w:pPr>
    <w:rPr>
      <w:b w:val="1"/>
    </w:rPr>
  </w:style>
  <w:style w:type="paragraph" w:styleId="Titre3">
    <w:name w:val="Heading 3"/>
    <w:basedOn w:val="Normal"/>
    <w:qFormat w:val="1"/>
    <w:rsid w:val="00125FB0"/>
    <w:pPr>
      <w:keepNext w:val="1"/>
      <w:numPr>
        <w:ilvl w:val="2"/>
        <w:numId w:val="1"/>
      </w:numPr>
      <w:outlineLvl w:val="2"/>
    </w:pPr>
    <w:rPr/>
  </w:style>
  <w:style w:type="paragraph" w:styleId="Titre4">
    <w:name w:val="Heading 4"/>
    <w:basedOn w:val="Normal"/>
    <w:next w:val="Normal"/>
    <w:autoRedefine w:val="1"/>
    <w:qFormat w:val="1"/>
    <w:rsid w:val="00354EBD"/>
    <w:pPr>
      <w:numPr>
        <w:ilvl w:val="3"/>
        <w:numId w:val="1"/>
      </w:numPr>
      <w:outlineLvl w:val="3"/>
    </w:pPr>
    <w:rPr/>
  </w:style>
  <w:style w:type="paragraph" w:styleId="Titre5">
    <w:name w:val="Heading 5"/>
    <w:basedOn w:val="Normal"/>
    <w:next w:val="Normal"/>
    <w:qFormat w:val="1"/>
    <w:rsid w:val="001D6C11"/>
    <w:pPr>
      <w:keepNext w:val="1"/>
      <w:tabs>
        <w:tab w:val="clear" w:pos="709"/>
        <w:tab w:val="left" w:leader="none" w:pos="-1985"/>
      </w:tabs>
      <w:outlineLvl w:val="4"/>
    </w:pPr>
    <w:rPr>
      <w:rFonts w:ascii="Garamond" w:hAnsi="Garamond"/>
      <w:b w:val="1"/>
      <w:bCs w:val="1"/>
    </w:rPr>
  </w:style>
  <w:style w:type="paragraph" w:styleId="Titre6">
    <w:name w:val="Heading 6"/>
    <w:basedOn w:val="Normal"/>
    <w:next w:val="Normal"/>
    <w:qFormat w:val="1"/>
    <w:rsid w:val="001D6C11"/>
    <w:pPr>
      <w:keepNext w:val="1"/>
      <w:ind w:right="-2472" w:hanging="0"/>
      <w:outlineLvl w:val="5"/>
    </w:pPr>
    <w:rPr>
      <w:i w:val="1"/>
      <w:color w:val="ff0000"/>
    </w:rPr>
  </w:style>
  <w:style w:type="paragraph" w:styleId="Titre7">
    <w:name w:val="Heading 7"/>
    <w:basedOn w:val="Normal"/>
    <w:next w:val="Normal"/>
    <w:qFormat w:val="1"/>
    <w:rsid w:val="001D6C11"/>
    <w:pPr>
      <w:keepNext w:val="1"/>
      <w:tabs>
        <w:tab w:val="clear" w:pos="709"/>
        <w:tab w:val="left" w:leader="none" w:pos="-1985"/>
      </w:tabs>
      <w:jc w:val="center"/>
      <w:outlineLvl w:val="6"/>
    </w:pPr>
    <w:rPr>
      <w:b w:val="1"/>
      <w:bCs w:val="1"/>
      <w:sz w:val="28"/>
      <w:szCs w:val="28"/>
    </w:rPr>
  </w:style>
  <w:style w:type="paragraph" w:styleId="Titre8">
    <w:name w:val="Heading 8"/>
    <w:basedOn w:val="Normal"/>
    <w:next w:val="Normal"/>
    <w:qFormat w:val="1"/>
    <w:rsid w:val="001D6C11"/>
    <w:pPr>
      <w:keepNext w:val="1"/>
      <w:tabs>
        <w:tab w:val="clear" w:pos="709"/>
        <w:tab w:val="left" w:leader="none" w:pos="-1985"/>
      </w:tabs>
      <w:ind w:left="-567" w:right="-483" w:hanging="0"/>
      <w:outlineLvl w:val="7"/>
    </w:pPr>
    <w:rPr>
      <w:b w:val="1"/>
      <w:bCs w:val="1"/>
      <w:sz w:val="28"/>
      <w:szCs w:val="28"/>
    </w:rPr>
  </w:style>
  <w:style w:type="paragraph" w:styleId="Titre9">
    <w:name w:val="Heading 9"/>
    <w:basedOn w:val="Normal"/>
    <w:next w:val="Normal"/>
    <w:qFormat w:val="1"/>
    <w:rsid w:val="001D6C11"/>
    <w:pPr>
      <w:keepNext w:val="1"/>
      <w:outlineLvl w:val="8"/>
    </w:pPr>
    <w:rPr>
      <w:b w:val="1"/>
    </w:rPr>
  </w:style>
  <w:style w:type="character" w:styleId="DefaultParagraphFont" w:default="1">
    <w:name w:val="Default Paragraph Font"/>
    <w:uiPriority w:val="1"/>
    <w:semiHidden w:val="1"/>
    <w:unhideWhenUsed w:val="1"/>
    <w:qFormat w:val="1"/>
    <w:rPr/>
  </w:style>
  <w:style w:type="character" w:styleId="Annotationreference">
    <w:name w:val="annotation reference"/>
    <w:semiHidden w:val="1"/>
    <w:qFormat w:val="1"/>
    <w:rsid w:val="001D6C11"/>
    <w:rPr>
      <w:sz w:val="16"/>
      <w:szCs w:val="16"/>
    </w:rPr>
  </w:style>
  <w:style w:type="character" w:styleId="Titre2Car" w:customStyle="1">
    <w:name w:val="Titre 2 Car"/>
    <w:link w:val="Titre2"/>
    <w:qFormat w:val="1"/>
    <w:rsid w:val="00BF76AC"/>
    <w:rPr>
      <w:rFonts w:ascii="Arial" w:cs="Arial" w:hAnsi="Arial"/>
      <w:b w:val="1"/>
      <w:color w:val="000000"/>
    </w:rPr>
  </w:style>
  <w:style w:type="character" w:styleId="Markedcontent" w:customStyle="1">
    <w:name w:val="markedcontent"/>
    <w:basedOn w:val="DefaultParagraphFont"/>
    <w:qFormat w:val="1"/>
    <w:rsid w:val="00C95A68"/>
    <w:rPr/>
  </w:style>
  <w:style w:type="character" w:styleId="LienInternet">
    <w:name w:val="Lien Internet"/>
    <w:basedOn w:val="DefaultParagraphFont"/>
    <w:uiPriority w:val="99"/>
    <w:unhideWhenUsed w:val="1"/>
    <w:rsid w:val="00E66653"/>
    <w:rPr>
      <w:color w:val="0000ff" w:themeColor="hyperlink"/>
      <w:u w:val="single"/>
    </w:rPr>
  </w:style>
  <w:style w:type="character" w:styleId="Mentionnonrsolue1" w:customStyle="1">
    <w:name w:val="Mention non résolue1"/>
    <w:basedOn w:val="DefaultParagraphFont"/>
    <w:uiPriority w:val="99"/>
    <w:semiHidden w:val="1"/>
    <w:unhideWhenUsed w:val="1"/>
    <w:qFormat w:val="1"/>
    <w:rsid w:val="00E66653"/>
    <w:rPr>
      <w:color w:val="605e5c"/>
      <w:shd w:fill="e1dfdd" w:val="clear"/>
    </w:rPr>
  </w:style>
  <w:style w:type="character" w:styleId="Katexmathml" w:customStyle="1">
    <w:name w:val="katex-mathml"/>
    <w:basedOn w:val="DefaultParagraphFont"/>
    <w:qFormat w:val="1"/>
    <w:rsid w:val="00220DFE"/>
    <w:rPr/>
  </w:style>
  <w:style w:type="character" w:styleId="Mord" w:customStyle="1">
    <w:name w:val="mord"/>
    <w:basedOn w:val="DefaultParagraphFont"/>
    <w:qFormat w:val="1"/>
    <w:rsid w:val="00220DFE"/>
    <w:rPr/>
  </w:style>
  <w:style w:type="character" w:styleId="Mrel" w:customStyle="1">
    <w:name w:val="mrel"/>
    <w:basedOn w:val="DefaultParagraphFont"/>
    <w:qFormat w:val="1"/>
    <w:rsid w:val="00220DFE"/>
    <w:rPr/>
  </w:style>
  <w:style w:type="character" w:styleId="Mopen" w:customStyle="1">
    <w:name w:val="mopen"/>
    <w:basedOn w:val="DefaultParagraphFont"/>
    <w:qFormat w:val="1"/>
    <w:rsid w:val="00220DFE"/>
    <w:rPr/>
  </w:style>
  <w:style w:type="character" w:styleId="Mclose" w:customStyle="1">
    <w:name w:val="mclose"/>
    <w:basedOn w:val="DefaultParagraphFont"/>
    <w:qFormat w:val="1"/>
    <w:rsid w:val="00220DFE"/>
    <w:rPr/>
  </w:style>
  <w:style w:type="character" w:styleId="Mtight" w:customStyle="1">
    <w:name w:val="mtight"/>
    <w:basedOn w:val="DefaultParagraphFont"/>
    <w:qFormat w:val="1"/>
    <w:rsid w:val="00220DFE"/>
    <w:rPr/>
  </w:style>
  <w:style w:type="character" w:styleId="Vlists" w:customStyle="1">
    <w:name w:val="vlist-s"/>
    <w:basedOn w:val="DefaultParagraphFont"/>
    <w:qFormat w:val="1"/>
    <w:rsid w:val="00220DFE"/>
    <w:rPr/>
  </w:style>
  <w:style w:type="character" w:styleId="Mbin" w:customStyle="1">
    <w:name w:val="mbin"/>
    <w:basedOn w:val="DefaultParagraphFont"/>
    <w:qFormat w:val="1"/>
    <w:rsid w:val="00220DFE"/>
    <w:rPr/>
  </w:style>
  <w:style w:type="character" w:styleId="PlaceholderText">
    <w:name w:val="Placeholder Text"/>
    <w:basedOn w:val="DefaultParagraphFont"/>
    <w:uiPriority w:val="99"/>
    <w:semiHidden w:val="1"/>
    <w:qFormat w:val="1"/>
    <w:rsid w:val="00736034"/>
    <w:rPr>
      <w:color w:val="808080"/>
    </w:rPr>
  </w:style>
  <w:style w:type="paragraph" w:styleId="Titre">
    <w:name w:val="Titre"/>
    <w:basedOn w:val="Normal"/>
    <w:next w:val="Corpsdetexte"/>
    <w:qFormat w:val="1"/>
    <w:pPr>
      <w:keepNext w:val="1"/>
      <w:spacing w:after="120" w:before="240"/>
    </w:pPr>
    <w:rPr>
      <w:rFonts w:ascii="Liberation Sans" w:cs="Arial" w:eastAsia="Microsoft YaHei" w:hAnsi="Liberation Sans"/>
      <w:sz w:val="28"/>
      <w:szCs w:val="28"/>
    </w:rPr>
  </w:style>
  <w:style w:type="paragraph" w:styleId="Corpsdetexte">
    <w:name w:val="Body Text"/>
    <w:basedOn w:val="Normal"/>
    <w:pPr>
      <w:spacing w:after="140" w:before="0" w:line="276" w:lineRule="auto"/>
    </w:pPr>
    <w:rPr/>
  </w:style>
  <w:style w:type="paragraph" w:styleId="Liste">
    <w:name w:val="List"/>
    <w:basedOn w:val="Corpsdetexte"/>
    <w:pPr/>
    <w:rPr/>
  </w:style>
  <w:style w:type="paragraph" w:styleId="Lgende">
    <w:name w:val="Caption"/>
    <w:basedOn w:val="Normal"/>
    <w:qFormat w:val="1"/>
    <w:pPr>
      <w:suppressLineNumbers w:val="1"/>
      <w:spacing w:after="120" w:before="120"/>
    </w:pPr>
    <w:rPr>
      <w:rFonts w:cs="Arial"/>
      <w:i w:val="1"/>
      <w:iCs w:val="1"/>
      <w:sz w:val="24"/>
      <w:szCs w:val="24"/>
    </w:rPr>
  </w:style>
  <w:style w:type="paragraph" w:styleId="Index" w:customStyle="1">
    <w:name w:val="Index"/>
    <w:basedOn w:val="Normal"/>
    <w:qFormat w:val="1"/>
    <w:pPr>
      <w:suppressLineNumbers w:val="1"/>
    </w:pPr>
    <w:rPr/>
  </w:style>
  <w:style w:type="paragraph" w:styleId="Titreprincipal">
    <w:name w:val="Title"/>
    <w:basedOn w:val="Normal"/>
    <w:next w:val="Corpsdetexte"/>
    <w:qFormat w:val="1"/>
    <w:pPr>
      <w:keepNext w:val="1"/>
      <w:spacing w:after="120" w:before="240"/>
    </w:pPr>
    <w:rPr>
      <w:rFonts w:ascii="Liberation Sans" w:eastAsia="Microsoft YaHei" w:hAnsi="Liberation Sans"/>
      <w:sz w:val="28"/>
      <w:szCs w:val="28"/>
    </w:rPr>
  </w:style>
  <w:style w:type="paragraph" w:styleId="Caption">
    <w:name w:val="caption"/>
    <w:basedOn w:val="Normal"/>
    <w:qFormat w:val="1"/>
    <w:pPr>
      <w:suppressLineNumbers w:val="1"/>
      <w:spacing w:after="120" w:before="120"/>
    </w:pPr>
    <w:rPr>
      <w:i w:val="1"/>
      <w:iCs w:val="1"/>
      <w:sz w:val="24"/>
      <w:szCs w:val="24"/>
    </w:rPr>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jc w:val="center"/>
    </w:pPr>
    <w:rPr>
      <w:rFonts w:eastAsia="Arial Unicode MS"/>
      <w:b w:val="1"/>
    </w:rPr>
  </w:style>
  <w:style w:type="paragraph" w:styleId="NormalIndent">
    <w:name w:val="Normal Indent"/>
    <w:basedOn w:val="Normal"/>
    <w:qFormat w:val="1"/>
    <w:rsid w:val="001D6C11"/>
    <w:pPr>
      <w:tabs>
        <w:tab w:val="clear" w:pos="709"/>
        <w:tab w:val="left" w:leader="none" w:pos="-1985"/>
      </w:tabs>
      <w:ind w:left="708" w:hanging="0"/>
    </w:pPr>
    <w:rPr/>
  </w:style>
  <w:style w:type="paragraph" w:styleId="Entteetpieddepage">
    <w:name w:val="En-tête et pied de page"/>
    <w:basedOn w:val="Normal"/>
    <w:qFormat w:val="1"/>
    <w:pPr/>
    <w:rPr/>
  </w:style>
  <w:style w:type="paragraph" w:styleId="Pieddepage">
    <w:name w:val="Footer"/>
    <w:basedOn w:val="Normal"/>
    <w:rsid w:val="001D6C11"/>
    <w:pPr>
      <w:tabs>
        <w:tab w:val="clear" w:pos="709"/>
        <w:tab w:val="left" w:leader="none" w:pos="-1985"/>
        <w:tab w:val="center" w:leader="none" w:pos="4536"/>
        <w:tab w:val="right" w:leader="none" w:pos="9072"/>
      </w:tabs>
    </w:pPr>
    <w:rPr>
      <w:sz w:val="22"/>
      <w:szCs w:val="22"/>
    </w:rPr>
  </w:style>
  <w:style w:type="paragraph" w:styleId="Remarque" w:customStyle="1">
    <w:name w:val="remarque"/>
    <w:basedOn w:val="Normal"/>
    <w:qFormat w:val="1"/>
    <w:rsid w:val="001D6C11"/>
    <w:pPr>
      <w:tabs>
        <w:tab w:val="clear" w:pos="709"/>
        <w:tab w:val="left" w:leader="none" w:pos="-1985"/>
      </w:tabs>
    </w:pPr>
    <w:rPr>
      <w:b w:val="1"/>
      <w:bCs w:val="1"/>
    </w:rPr>
  </w:style>
  <w:style w:type="paragraph" w:styleId="Retraitdecorpsdetexte">
    <w:name w:val="Body Text Indent"/>
    <w:basedOn w:val="Normal"/>
    <w:rsid w:val="001D6C11"/>
    <w:pPr>
      <w:tabs>
        <w:tab w:val="clear" w:pos="709"/>
        <w:tab w:val="left" w:leader="none" w:pos="-1985"/>
      </w:tabs>
      <w:ind w:firstLine="426"/>
    </w:pPr>
    <w:rPr>
      <w:sz w:val="22"/>
      <w:szCs w:val="22"/>
    </w:rPr>
  </w:style>
  <w:style w:type="paragraph" w:styleId="Entte">
    <w:name w:val="Header"/>
    <w:basedOn w:val="Normal"/>
    <w:rsid w:val="001D6C11"/>
    <w:pPr>
      <w:tabs>
        <w:tab w:val="clear" w:pos="709"/>
        <w:tab w:val="left" w:leader="none" w:pos="-1985"/>
        <w:tab w:val="center" w:leader="none" w:pos="4536"/>
        <w:tab w:val="right" w:leader="none" w:pos="9072"/>
      </w:tabs>
    </w:pPr>
    <w:rPr/>
  </w:style>
  <w:style w:type="paragraph" w:styleId="Notedebasdepage">
    <w:name w:val="Footnote Text"/>
    <w:basedOn w:val="Normal"/>
    <w:semiHidden w:val="1"/>
    <w:rsid w:val="001D6C11"/>
    <w:pPr/>
    <w:rPr/>
  </w:style>
  <w:style w:type="paragraph" w:styleId="Soustitre">
    <w:name w:val="Subtitle"/>
    <w:basedOn w:val="Normal"/>
    <w:qFormat w:val="1"/>
    <w:rsid w:val="001D6C11"/>
    <w:pPr>
      <w:jc w:val="center"/>
    </w:pPr>
    <w:rPr>
      <w:b w:val="1"/>
      <w:i w:val="1"/>
      <w:sz w:val="28"/>
    </w:rPr>
  </w:style>
  <w:style w:type="paragraph" w:styleId="Annotationtext">
    <w:name w:val="annotation text"/>
    <w:basedOn w:val="Normal"/>
    <w:semiHidden w:val="1"/>
    <w:qFormat w:val="1"/>
    <w:rsid w:val="001D6C11"/>
    <w:pPr/>
    <w:rPr/>
  </w:style>
  <w:style w:type="paragraph" w:styleId="Annotationsubject">
    <w:name w:val="annotation subject"/>
    <w:basedOn w:val="Annotationtext"/>
    <w:semiHidden w:val="1"/>
    <w:qFormat w:val="1"/>
    <w:rsid w:val="001D6C11"/>
    <w:pPr/>
    <w:rPr>
      <w:b w:val="1"/>
      <w:bCs w:val="1"/>
    </w:rPr>
  </w:style>
  <w:style w:type="paragraph" w:styleId="BalloonText">
    <w:name w:val="Balloon Text"/>
    <w:basedOn w:val="Normal"/>
    <w:qFormat w:val="1"/>
    <w:rsid w:val="001D6C11"/>
    <w:pPr/>
    <w:rPr>
      <w:rFonts w:ascii="Tahoma" w:cs="Tahoma" w:hAnsi="Tahoma"/>
      <w:sz w:val="16"/>
      <w:szCs w:val="16"/>
    </w:rPr>
  </w:style>
  <w:style w:type="paragraph" w:styleId="Tabledesmatiresniveau1">
    <w:name w:val="TOC 1"/>
    <w:next w:val="Normal"/>
    <w:uiPriority w:val="39"/>
    <w:qFormat w:val="1"/>
    <w:rsid w:val="00CA6FD0"/>
    <w:pPr>
      <w:widowControl w:val="0"/>
      <w:tabs>
        <w:tab w:val="clear" w:pos="709"/>
        <w:tab w:val="left" w:leader="none" w:pos="284"/>
        <w:tab w:val="right" w:leader="dot" w:pos="9628"/>
      </w:tabs>
      <w:bidi w:val="0"/>
      <w:jc w:val="left"/>
    </w:pPr>
    <w:rPr>
      <w:rFonts w:ascii="Times New Roman" w:cs="Times New Roman" w:eastAsia="Times New Roman" w:hAnsi="Times New Roman"/>
      <w:color w:val="auto"/>
      <w:kern w:val="0"/>
      <w:sz w:val="20"/>
      <w:szCs w:val="20"/>
      <w:lang w:bidi="ar-SA" w:eastAsia="fr-FR" w:val="fr-FR"/>
    </w:rPr>
  </w:style>
  <w:style w:type="paragraph" w:styleId="Tabledesmatiresniveau2">
    <w:name w:val="TOC 2"/>
    <w:basedOn w:val="Normal"/>
    <w:next w:val="Normal"/>
    <w:uiPriority w:val="39"/>
    <w:unhideWhenUsed w:val="1"/>
    <w:qFormat w:val="1"/>
    <w:rsid w:val="00910B6F"/>
    <w:pPr>
      <w:tabs>
        <w:tab w:val="clear" w:pos="709"/>
        <w:tab w:val="right" w:leader="dot" w:pos="9628"/>
      </w:tabs>
      <w:spacing w:after="100" w:before="0" w:line="276" w:lineRule="auto"/>
      <w:ind w:left="221" w:hanging="0"/>
    </w:pPr>
    <w:rPr>
      <w:color w:val="auto"/>
      <w:lang w:eastAsia="en-US"/>
    </w:rPr>
  </w:style>
  <w:style w:type="paragraph" w:styleId="Tabledesmatiresniveau3">
    <w:name w:val="TOC 3"/>
    <w:basedOn w:val="Normal"/>
    <w:next w:val="Normal"/>
    <w:autoRedefine w:val="1"/>
    <w:uiPriority w:val="39"/>
    <w:unhideWhenUsed w:val="1"/>
    <w:rsid w:val="00A20F44"/>
    <w:pPr>
      <w:tabs>
        <w:tab w:val="clear" w:pos="709"/>
        <w:tab w:val="right" w:leader="dot" w:pos="9628"/>
      </w:tabs>
      <w:spacing w:after="100" w:before="0" w:line="276" w:lineRule="auto"/>
      <w:ind w:left="442" w:hanging="0"/>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qFormat w:val="1"/>
    <w:rsid w:val="00B97EB7"/>
    <w:pPr>
      <w:shd w:color="auto" w:fill="eeece1" w:val="clear"/>
      <w:jc w:val="center"/>
    </w:pPr>
    <w:rPr>
      <w:rFonts w:cs="Times New Roman"/>
      <w:b w:val="1"/>
      <w:bCs w:val="1"/>
    </w:rPr>
  </w:style>
  <w:style w:type="paragraph" w:styleId="Default" w:customStyle="1">
    <w:name w:val="Default"/>
    <w:uiPriority w:val="99"/>
    <w:qFormat w:val="1"/>
    <w:rsid w:val="00BF76AC"/>
    <w:pPr>
      <w:widowControl w:val="1"/>
      <w:bidi w:val="0"/>
      <w:jc w:val="left"/>
    </w:pPr>
    <w:rPr>
      <w:rFonts w:ascii="Calibri" w:cs="Calibri" w:eastAsia="MS ??" w:hAnsi="Calibri"/>
      <w:color w:val="000000"/>
      <w:kern w:val="0"/>
      <w:sz w:val="24"/>
      <w:szCs w:val="24"/>
      <w:lang w:bidi="ar-SA" w:eastAsia="fr-FR" w:val="fr-FR"/>
    </w:rPr>
  </w:style>
  <w:style w:type="paragraph" w:styleId="ECEcorps" w:customStyle="1">
    <w:name w:val="ECEcorps"/>
    <w:qFormat w:val="1"/>
    <w:rsid w:val="00C06213"/>
    <w:pPr>
      <w:widowControl w:val="1"/>
      <w:bidi w:val="0"/>
      <w:spacing w:line="264" w:lineRule="auto"/>
      <w:jc w:val="both"/>
    </w:pPr>
    <w:rPr>
      <w:rFonts w:ascii="Arial" w:cs="Arial" w:eastAsia="Times New Roman" w:hAnsi="Arial"/>
      <w:color w:val="auto"/>
      <w:kern w:val="0"/>
      <w:sz w:val="20"/>
      <w:szCs w:val="20"/>
      <w:lang w:bidi="ar-SA" w:eastAsia="fr-FR" w:val="fr-FR"/>
    </w:rPr>
  </w:style>
  <w:style w:type="paragraph" w:styleId="ECEtitre" w:customStyle="1">
    <w:name w:val="ECEtitre"/>
    <w:basedOn w:val="ECEcorps"/>
    <w:next w:val="ECEcorps"/>
    <w:qFormat w:val="1"/>
    <w:rsid w:val="00E2460E"/>
    <w:pPr/>
    <w:rPr>
      <w:b w:val="1"/>
      <w:u w:val="single"/>
    </w:rPr>
  </w:style>
  <w:style w:type="paragraph" w:styleId="ECEfiche" w:customStyle="1">
    <w:name w:val="ECEfiche"/>
    <w:basedOn w:val="Titre1"/>
    <w:next w:val="ECEcorps"/>
    <w:qFormat w:val="1"/>
    <w:rsid w:val="00A12834"/>
    <w:pPr>
      <w:numPr>
        <w:ilvl w:val="0"/>
        <w:numId w:val="0"/>
      </w:numPr>
      <w:shd w:color="auto" w:fill="d8d8d8" w:val="clear"/>
    </w:pPr>
    <w:rPr>
      <w:b w:val="0"/>
    </w:rPr>
  </w:style>
  <w:style w:type="paragraph" w:styleId="ECErponse" w:customStyle="1">
    <w:name w:val="ECEréponse"/>
    <w:basedOn w:val="ECEcorps"/>
    <w:qFormat w:val="1"/>
    <w:rsid w:val="00C22A4C"/>
    <w:pPr>
      <w:spacing w:after="0" w:before="240" w:line="240" w:lineRule="auto"/>
    </w:pPr>
    <w:rPr>
      <w:bCs w:val="1"/>
      <w:szCs w:val="22"/>
    </w:rPr>
  </w:style>
  <w:style w:type="paragraph" w:styleId="ECEpartie" w:customStyle="1">
    <w:name w:val="ECEpartie"/>
    <w:basedOn w:val="ECEcorps"/>
    <w:next w:val="ECEcorps"/>
    <w:qFormat w:val="1"/>
    <w:rsid w:val="00452138"/>
    <w:pPr/>
    <w:rPr>
      <w:b w:val="1"/>
    </w:rPr>
  </w:style>
  <w:style w:type="paragraph" w:styleId="ECEcoeff" w:customStyle="1">
    <w:name w:val="ECEcoeff"/>
    <w:basedOn w:val="ECEcorps"/>
    <w:next w:val="ECEcorps"/>
    <w:qFormat w:val="1"/>
    <w:rsid w:val="0003345D"/>
    <w:pPr/>
    <w:rPr>
      <w:b w:val="1"/>
      <w:sz w:val="22"/>
      <w:szCs w:val="22"/>
    </w:rPr>
  </w:style>
  <w:style w:type="paragraph" w:styleId="ECEbordure" w:customStyle="1">
    <w:name w:val="ECEbordure"/>
    <w:basedOn w:val="ECEcorps"/>
    <w:qFormat w:val="1"/>
    <w:rsid w:val="00180BB9"/>
    <w:pPr>
      <w:pBdr>
        <w:top w:color="000000" w:space="1" w:sz="12" w:val="single"/>
        <w:left w:color="000000" w:space="4" w:sz="12" w:val="single"/>
        <w:bottom w:color="000000" w:space="1" w:sz="12" w:val="single"/>
        <w:right w:color="000000" w:space="4" w:sz="12" w:val="single"/>
      </w:pBdr>
      <w:ind w:left="284" w:right="281" w:hanging="0"/>
    </w:pPr>
    <w:r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rPr>
      <w:rFonts w:eastAsia="Arial Unicode MS"/>
      <w:bCs w:val="1"/>
      <w:iCs w:val="1"/>
    </w:rPr>
  </w:style>
  <w:style w:type="paragraph" w:styleId="ECEpuce2" w:customStyle="1">
    <w:name w:val="ECEpuce2"/>
    <w:basedOn w:val="ECEcorps"/>
    <w:qFormat w:val="1"/>
    <w:rsid w:val="0060508C"/>
    <w:pPr>
      <w:ind w:left="1491" w:hanging="357"/>
    </w:pPr>
    <w:rPr>
      <w:rFonts w:eastAsia="Arial Unicode MS"/>
      <w:bCs w:val="1"/>
      <w:iCs w:val="1"/>
    </w:rPr>
  </w:style>
  <w:style w:type="paragraph" w:styleId="Tabledesmatiresniveau4">
    <w:name w:val="TOC 4"/>
    <w:basedOn w:val="Normal"/>
    <w:next w:val="Normal"/>
    <w:autoRedefine w:val="1"/>
    <w:uiPriority w:val="39"/>
    <w:unhideWhenUsed w:val="1"/>
    <w:rsid w:val="00943326"/>
    <w:pPr>
      <w:ind w:left="600" w:hanging="0"/>
    </w:pPr>
    <w:rPr/>
  </w:style>
  <w:style w:type="paragraph" w:styleId="Tabledesmatiresniveau5">
    <w:name w:val="TOC 5"/>
    <w:basedOn w:val="Normal"/>
    <w:next w:val="Normal"/>
    <w:autoRedefine w:val="1"/>
    <w:uiPriority w:val="39"/>
    <w:unhideWhenUsed w:val="1"/>
    <w:rsid w:val="00943326"/>
    <w:pPr>
      <w:ind w:left="800" w:hanging="0"/>
    </w:pPr>
    <w:rPr/>
  </w:style>
  <w:style w:type="paragraph" w:styleId="Tabledesmatiresniveau6">
    <w:name w:val="TOC 6"/>
    <w:basedOn w:val="Normal"/>
    <w:next w:val="Normal"/>
    <w:autoRedefine w:val="1"/>
    <w:uiPriority w:val="39"/>
    <w:unhideWhenUsed w:val="1"/>
    <w:rsid w:val="00943326"/>
    <w:pPr>
      <w:ind w:left="1000" w:hanging="0"/>
    </w:pPr>
    <w:rPr/>
  </w:style>
  <w:style w:type="paragraph" w:styleId="Tabledesmatiresniveau7">
    <w:name w:val="TOC 7"/>
    <w:basedOn w:val="Normal"/>
    <w:next w:val="Normal"/>
    <w:autoRedefine w:val="1"/>
    <w:uiPriority w:val="39"/>
    <w:unhideWhenUsed w:val="1"/>
    <w:rsid w:val="00943326"/>
    <w:pPr>
      <w:ind w:left="1200" w:hanging="0"/>
    </w:pPr>
    <w:rPr/>
  </w:style>
  <w:style w:type="paragraph" w:styleId="Tabledesmatiresniveau8">
    <w:name w:val="TOC 8"/>
    <w:basedOn w:val="Normal"/>
    <w:next w:val="Normal"/>
    <w:autoRedefine w:val="1"/>
    <w:uiPriority w:val="39"/>
    <w:unhideWhenUsed w:val="1"/>
    <w:rsid w:val="00943326"/>
    <w:pPr>
      <w:ind w:left="1400" w:hanging="0"/>
    </w:pPr>
    <w:rPr/>
  </w:style>
  <w:style w:type="paragraph" w:styleId="Tabledesmatiresniveau9">
    <w:name w:val="TOC 9"/>
    <w:basedOn w:val="Normal"/>
    <w:next w:val="Normal"/>
    <w:autoRedefine w:val="1"/>
    <w:uiPriority w:val="39"/>
    <w:unhideWhenUsed w:val="1"/>
    <w:rsid w:val="00943326"/>
    <w:pPr>
      <w:ind w:left="1600" w:hanging="0"/>
    </w:pPr>
    <w:rPr/>
  </w:style>
  <w:style w:type="paragraph" w:styleId="ListParagraph">
    <w:name w:val="List Paragraph"/>
    <w:basedOn w:val="Normal"/>
    <w:uiPriority w:val="72"/>
    <w:qFormat w:val="1"/>
    <w:rsid w:val="00DE159B"/>
    <w:pPr>
      <w:spacing w:after="0" w:before="0"/>
      <w:ind w:left="720" w:hanging="0"/>
      <w:contextualSpacing w:val="1"/>
    </w:pPr>
    <w:rPr/>
  </w:style>
  <w:style w:type="paragraph" w:styleId="Contenudecadre">
    <w:name w:val="Contenu de cadre"/>
    <w:basedOn w:val="Normal"/>
    <w:qFormat w:val="1"/>
    <w:pPr/>
    <w:rPr/>
  </w:style>
  <w:style w:type="numbering" w:styleId="NoList" w:default="1">
    <w:name w:val="No List"/>
    <w:uiPriority w:val="99"/>
    <w:semiHidden w:val="1"/>
    <w:unhideWhenUsed w:val="1"/>
    <w:qFormat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table" w:styleId="Grilledutableau">
    <w:name w:val="Table Grid"/>
    <w:basedOn w:val="TableauNormal"/>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57.0" w:type="dxa"/>
        <w:left w:w="42.0" w:type="dxa"/>
        <w:bottom w:w="57.0" w:type="dxa"/>
        <w:right w:w="57.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57.0" w:type="dxa"/>
        <w:left w:w="56.0" w:type="dxa"/>
        <w:bottom w:w="57.0" w:type="dxa"/>
        <w:right w:w="57.0" w:type="dxa"/>
      </w:tblCellMar>
    </w:tblPr>
  </w:style>
  <w:style w:type="table" w:styleId="Table5">
    <w:basedOn w:val="TableNormal"/>
    <w:tblPr>
      <w:tblStyleRowBandSize w:val="1"/>
      <w:tblStyleColBandSize w:val="1"/>
      <w:tblCellMar>
        <w:top w:w="57.0" w:type="dxa"/>
        <w:left w:w="57.0" w:type="dxa"/>
        <w:bottom w:w="57.0" w:type="dxa"/>
        <w:right w:w="57.0" w:type="dxa"/>
      </w:tblCellMar>
    </w:tblPr>
  </w:style>
  <w:style w:type="table" w:styleId="Table6">
    <w:basedOn w:val="TableNormal"/>
    <w:tblPr>
      <w:tblStyleRowBandSize w:val="1"/>
      <w:tblStyleColBandSize w:val="1"/>
      <w:tblCellMar>
        <w:top w:w="57.0" w:type="dxa"/>
        <w:left w:w="56.0" w:type="dxa"/>
        <w:bottom w:w="57.0" w:type="dxa"/>
        <w:right w:w="57.0" w:type="dxa"/>
      </w:tblCellMar>
    </w:tblPr>
  </w:style>
  <w:style w:type="table" w:styleId="Table7">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ambriaMath-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7sNSpa+7tbyrY7TrGyyZXpJwPw==">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2021-11-23T13:32:00Z</dcterms:created>
  <dc:creator>SIEC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Versailles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