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BACCALAURÉAT GÉNÉRAL</w:t>
      </w:r>
    </w:p>
    <w:p w:rsidR="00000000" w:rsidDel="00000000" w:rsidP="00000000" w:rsidRDefault="00000000" w:rsidRPr="00000000" w14:paraId="00000002">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Épreuve pratique de l’enseignement de spécialité physique-chimie</w:t>
      </w:r>
    </w:p>
    <w:p w:rsidR="00000000" w:rsidDel="00000000" w:rsidP="00000000" w:rsidRDefault="00000000" w:rsidRPr="00000000" w14:paraId="00000004">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Évaluation des Compétences Expérimentales</w:t>
      </w:r>
    </w:p>
    <w:p w:rsidR="00000000" w:rsidDel="00000000" w:rsidP="00000000" w:rsidRDefault="00000000" w:rsidRPr="00000000" w14:paraId="00000005">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Cette situation d’évaluation fait partie de la banque nationale.</w:t>
      </w:r>
    </w:p>
    <w:p w:rsidR="00000000" w:rsidDel="00000000" w:rsidP="00000000" w:rsidRDefault="00000000" w:rsidRPr="00000000" w14:paraId="00000007">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d8d8d8" w:val="clear"/>
        <w:tabs>
          <w:tab w:val="left" w:leader="none" w:pos="-1985"/>
          <w:tab w:val="left" w:leader="none" w:pos="567"/>
        </w:tabs>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ÉNONCÉ DESTINÉ AU CANDIDAT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66.0" w:type="dxa"/>
        <w:jc w:val="center"/>
        <w:tblLayout w:type="fixed"/>
        <w:tblLook w:val="0400"/>
      </w:tblPr>
      <w:tblGrid>
        <w:gridCol w:w="4934"/>
        <w:gridCol w:w="4932"/>
        <w:tblGridChange w:id="0">
          <w:tblGrid>
            <w:gridCol w:w="4934"/>
            <w:gridCol w:w="493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 :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ROBB</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Prénom : </w:t>
            </w:r>
            <w:r w:rsidDel="00000000" w:rsidR="00000000" w:rsidRPr="00000000">
              <w:rPr>
                <w:color w:val="ff0000"/>
                <w:rtl w:val="0"/>
              </w:rPr>
              <w:t xml:space="preserve">Finn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 d’examen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d’inscription : </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Cette situation d’évaluation comporte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cinq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pages sur lesquelles le candidat doit consigner ses réponses.</w:t>
      </w:r>
    </w:p>
    <w:p w:rsidR="00000000" w:rsidDel="00000000" w:rsidP="00000000" w:rsidRDefault="00000000" w:rsidRPr="00000000" w14:paraId="00000013">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candidat doit restituer ce document avant de sortir de la salle d'examen.</w:t>
      </w:r>
    </w:p>
    <w:p w:rsidR="00000000" w:rsidDel="00000000" w:rsidP="00000000" w:rsidRDefault="00000000" w:rsidRPr="00000000" w14:paraId="00000014">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candidat doit agir en autonomie et faire preuve d’initiative tout au long de l’épreuve.</w:t>
      </w:r>
    </w:p>
    <w:p w:rsidR="00000000" w:rsidDel="00000000" w:rsidP="00000000" w:rsidRDefault="00000000" w:rsidRPr="00000000" w14:paraId="00000016">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 de difficulté, le candidat peut solliciter l’examinateur afin de lui permettre de continuer la tâche.</w:t>
      </w:r>
    </w:p>
    <w:p w:rsidR="00000000" w:rsidDel="00000000" w:rsidP="00000000" w:rsidRDefault="00000000" w:rsidRPr="00000000" w14:paraId="00000017">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L’examinateur peut intervenir à tout moment, s’il le juge utile.</w:t>
      </w:r>
    </w:p>
    <w:p w:rsidR="00000000" w:rsidDel="00000000" w:rsidP="00000000" w:rsidRDefault="00000000" w:rsidRPr="00000000" w14:paraId="00000018">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L’usage de calculatrice avec mode examen actif est autorisé. L’usage de calculatrice sans mémoire « type collège » est autorisé.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CONTEXTE DE LA SITUATION D’ÉVALUATION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 longtemps, la phénolphtaléine a été utilisée comme indicateur coloré acido-basique lors de certains titrages colorimétriques. Les études toxicologiques conduites sur cette molécule ont amené l’Institut National de Recherche et de Sécurité (INRS) à établir une Fiche d’Aide à la Substitution (FAS) recommandant de remplacer la phénolphtaléine lorsque cela est possible.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6"/>
        <w:gridCol w:w="1321"/>
        <w:gridCol w:w="4313"/>
        <w:tblGridChange w:id="0">
          <w:tblGrid>
            <w:gridCol w:w="4786"/>
            <w:gridCol w:w="1321"/>
            <w:gridCol w:w="4313"/>
          </w:tblGrid>
        </w:tblGridChange>
      </w:tblGrid>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drawing>
                <wp:inline distB="0" distT="0" distL="0" distR="0">
                  <wp:extent cx="1884045" cy="1457325"/>
                  <wp:effectExtent b="0" l="0" r="0" t="0"/>
                  <wp:docPr id="188740912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884045" cy="1457325"/>
                          </a:xfrm>
                          <a:prstGeom prst="rect"/>
                          <a:ln/>
                        </pic:spPr>
                      </pic:pic>
                    </a:graphicData>
                  </a:graphic>
                </wp:inline>
              </w:draw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Formule topologique de la molécule de phénolphtaléine</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ou</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drawing>
                <wp:inline distB="0" distT="0" distL="0" distR="0">
                  <wp:extent cx="2310168" cy="1538591"/>
                  <wp:effectExtent b="0" l="0" r="0" t="0"/>
                  <wp:docPr descr="Chou rouge FRANCE (à l'unité) – Terre de Vendée" id="1887409131" name="image5.jpg"/>
                  <a:graphic>
                    <a:graphicData uri="http://schemas.openxmlformats.org/drawingml/2006/picture">
                      <pic:pic>
                        <pic:nvPicPr>
                          <pic:cNvPr descr="Chou rouge FRANCE (à l'unité) – Terre de Vendée" id="0" name="image5.jpg"/>
                          <pic:cNvPicPr preferRelativeResize="0"/>
                        </pic:nvPicPr>
                        <pic:blipFill>
                          <a:blip r:embed="rId8"/>
                          <a:srcRect b="0" l="0" r="0" t="0"/>
                          <a:stretch>
                            <a:fillRect/>
                          </a:stretch>
                        </pic:blipFill>
                        <pic:spPr>
                          <a:xfrm>
                            <a:off x="0" y="0"/>
                            <a:ext cx="2310168" cy="1538591"/>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Chou rouge</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Le but de cette épreuve est de déterminer si la phénolphtaléine peut être remplacée par le jus de chou rouge comme indicateur coloré lors du titrage de l’acide éthanoïque du vinaigre par une solution d’hydroxyde de sodium.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INFORMATIONS MISES À DISPOSITION DU CANDIDAT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none"/>
          <w:shd w:fill="auto" w:val="clear"/>
          <w:vertAlign w:val="baseline"/>
        </w:rPr>
        <w:sectPr>
          <w:headerReference r:id="rId9" w:type="default"/>
          <w:footerReference r:id="rId10" w:type="default"/>
          <w:pgSz w:h="16838" w:w="11906" w:orient="portrait"/>
          <w:pgMar w:bottom="851" w:top="908" w:left="851" w:right="851" w:header="851" w:footer="567"/>
          <w:pgNumType w:start="1"/>
        </w:sect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 phénolphtaléine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68"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Classification de la substance :</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64" w:lineRule="auto"/>
        <w:ind w:left="1788"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cancérogénicité, catégorie 1B</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64" w:lineRule="auto"/>
        <w:ind w:left="1788"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mutagénicité sur les cellules germinales, catégorie 2</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64" w:lineRule="auto"/>
        <w:ind w:left="1788" w:right="0" w:hanging="360"/>
        <w:jc w:val="both"/>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toxicité pour la reproduction, catégorie 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2236289</wp:posOffset>
            </wp:positionH>
            <wp:positionV relativeFrom="paragraph">
              <wp:posOffset>29099</wp:posOffset>
            </wp:positionV>
            <wp:extent cx="474345" cy="471805"/>
            <wp:effectExtent b="0" l="0" r="0" t="0"/>
            <wp:wrapSquare wrapText="bothSides" distB="0" distT="0" distL="114300" distR="114300"/>
            <wp:docPr id="1887409128"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474345" cy="471805"/>
                    </a:xfrm>
                    <a:prstGeom prst="rect"/>
                    <a:ln/>
                  </pic:spPr>
                </pic:pic>
              </a:graphicData>
            </a:graphic>
          </wp:anchor>
        </w:drawing>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1068"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Pictogramme de danger :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orient="portrait"/>
          <w:pgMar w:bottom="851" w:top="908" w:left="851" w:right="851" w:header="851" w:footer="567"/>
          <w:cols w:equalWidth="0" w:num="2">
            <w:col w:space="720" w:w="4742"/>
            <w:col w:space="0" w:w="4742"/>
          </w:cols>
        </w:sect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Classification des agents chimiques Cancérogènes, Mutagènes ou toxiques pour la Reproduction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(Journal Officiel de l’Union Européenne, annexe I du règlement (CE) n° 1272/2008)</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2844"/>
        <w:gridCol w:w="2844"/>
        <w:gridCol w:w="2844"/>
        <w:tblGridChange w:id="0">
          <w:tblGrid>
            <w:gridCol w:w="1667"/>
            <w:gridCol w:w="2844"/>
            <w:gridCol w:w="2844"/>
            <w:gridCol w:w="2844"/>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Catégories</w:t>
            </w:r>
          </w:p>
        </w:tc>
      </w:tr>
      <w:tr>
        <w:trPr>
          <w:cantSplit w:val="0"/>
          <w:tblHeader w:val="0"/>
        </w:trPr>
        <w:tc>
          <w:tcPr>
            <w:tcBorders>
              <w:top w:color="000000" w:space="0" w:sz="0" w:val="nil"/>
              <w:left w:color="000000" w:space="0" w:sz="0" w:val="nil"/>
            </w:tcBorders>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1A</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1B</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rPr>
          <w:cantSplit w:val="0"/>
          <w:tblHeader w:val="0"/>
        </w:trPr>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Cancérogénicité</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le potentiel cancérogène pour l’être humain est avéré</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le potentiel cancérogène pour l’être humain est présumé</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le potentiel cancérogène pour l’être humain est suspecté</w:t>
            </w:r>
          </w:p>
        </w:tc>
      </w:tr>
      <w:tr>
        <w:trPr>
          <w:cantSplit w:val="0"/>
          <w:tblHeader w:val="0"/>
        </w:trPr>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Mutagénicité</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la capacité d’induire des mutations héréditaires est avérée</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la capacité d’induire des mutations héréditaires est présumée</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la capacité d’induire des mutations héréditaires est suspectée</w:t>
            </w:r>
          </w:p>
        </w:tc>
      </w:tr>
      <w:tr>
        <w:trPr>
          <w:cantSplit w:val="0"/>
          <w:tblHeader w:val="0"/>
        </w:trPr>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Toxicité pour la reproduction</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la toxicité pour la reproduction humaine est avérée</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la toxicité pour la reproduction humaine est présumée</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dont la toxicité pour la reproduction humaine est suspectée</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d’après le site internet : </w:t>
      </w:r>
      <w:hyperlink r:id="rId12">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https://eur-lex.europa.eu/</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Les 12 principes de la chimie verte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Produire plus et mieux tout en consommant et en rejetant moins », tel est l’enjeu de la chimie verte, concept qui date des années 90 et dont les principes fondateurs sont au nombre de douze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6093911" cy="3779572"/>
            <wp:effectExtent b="0" l="0" r="0" t="0"/>
            <wp:docPr id="1887409132" name="image1.png"/>
            <a:graphic>
              <a:graphicData uri="http://schemas.openxmlformats.org/drawingml/2006/picture">
                <pic:pic>
                  <pic:nvPicPr>
                    <pic:cNvPr id="0" name="image1.png"/>
                    <pic:cNvPicPr preferRelativeResize="0"/>
                  </pic:nvPicPr>
                  <pic:blipFill>
                    <a:blip r:embed="rId13"/>
                    <a:srcRect b="11892" l="0" r="0" t="0"/>
                    <a:stretch>
                      <a:fillRect/>
                    </a:stretch>
                  </pic:blipFill>
                  <pic:spPr>
                    <a:xfrm>
                      <a:off x="0" y="0"/>
                      <a:ext cx="6093911" cy="3779572"/>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d’après le site Internet du centre en chimie verte et catalyse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Choix d’un indicateur coloré lors d’un titrage colorimétrique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4383043</wp:posOffset>
            </wp:positionH>
            <wp:positionV relativeFrom="paragraph">
              <wp:posOffset>124188</wp:posOffset>
            </wp:positionV>
            <wp:extent cx="2093595" cy="1215390"/>
            <wp:effectExtent b="0" l="0" r="0" t="0"/>
            <wp:wrapSquare wrapText="bothSides" distB="0" distT="0" distL="114300" distR="114300"/>
            <wp:docPr id="1887409133" name="image2.png"/>
            <a:graphic>
              <a:graphicData uri="http://schemas.openxmlformats.org/drawingml/2006/picture">
                <pic:pic>
                  <pic:nvPicPr>
                    <pic:cNvPr id="0" name="image2.png"/>
                    <pic:cNvPicPr preferRelativeResize="0"/>
                  </pic:nvPicPr>
                  <pic:blipFill>
                    <a:blip r:embed="rId14"/>
                    <a:srcRect b="4427" l="-66" r="66" t="4870"/>
                    <a:stretch>
                      <a:fillRect/>
                    </a:stretch>
                  </pic:blipFill>
                  <pic:spPr>
                    <a:xfrm>
                      <a:off x="0" y="0"/>
                      <a:ext cx="2093595" cy="1215390"/>
                    </a:xfrm>
                    <a:prstGeom prst="rect"/>
                    <a:ln/>
                  </pic:spPr>
                </pic:pic>
              </a:graphicData>
            </a:graphic>
          </wp:anchor>
        </w:drawing>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L’indicateur coloré doit changer de couleur lors du saut de pH, c’est-à-dire à l’équivalence du titrage.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d’après le site internet : </w:t>
      </w:r>
      <w:hyperlink r:id="rId15">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https://culturesciences.chimie.ens.fr/</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Les couleurs du jus de chou rouge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couleur du jus de chou rouge dépend fortement du pH de la solution. En plus des teintes violette ou bleue, observées à un pH proche de 7, il peut également, sur d’autres gammes de pH, se teinter en rouge, vert, jaune…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TRAVAIL À EFFECTUER </w:t>
      </w:r>
    </w:p>
    <w:p w:rsidR="00000000" w:rsidDel="00000000" w:rsidP="00000000" w:rsidRDefault="00000000" w:rsidRPr="00000000" w14:paraId="00000062">
      <w:pPr>
        <w:rPr>
          <w:b w:val="1"/>
          <w:color w:val="000000"/>
          <w:u w:val="singl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Utilisation de la molécule de phénolphtaléine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minutes conseillées)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À l’aide des informations mises à disposition, citer au moins une raison justifiant l’établissement d’une Fiche d’Aide à la Substitution de la phénolphtaléine.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pPr>
      <w:bookmarkStart w:colFirst="0" w:colLast="0" w:name="_heading=h.h8ufdgm3jwxh" w:id="4"/>
      <w:bookmarkEnd w:id="4"/>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color w:val="ff0000"/>
        </w:rPr>
      </w:pPr>
      <w:r w:rsidDel="00000000" w:rsidR="00000000" w:rsidRPr="00000000">
        <w:rPr>
          <w:color w:val="ff0000"/>
          <w:rtl w:val="0"/>
        </w:rPr>
        <w:t xml:space="preserve">La phénolphtaléine présente de nombreux risques pour la santé, en effet cette substance est classsé de type 1B en cancérogénité, soit qu’elle a un potentiel cancérogène pour l’être humain présumé.</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color w:val="ff000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Citer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justifiant votre réponse, l’un des principes de la chimie verte que l’utilisation de la phénolphtaléine ne respecte pas.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color w:val="ff0000"/>
        </w:rPr>
      </w:pPr>
      <w:r w:rsidDel="00000000" w:rsidR="00000000" w:rsidRPr="00000000">
        <w:rPr>
          <w:color w:val="ff0000"/>
          <w:rtl w:val="0"/>
        </w:rPr>
        <w:t xml:space="preserve">L’utilisation de phénolphtaléine ne respecte pas le 4ème principe de la chimie verte qui préconise l’utilisation </w:t>
      </w:r>
      <w:r w:rsidDel="00000000" w:rsidR="00000000" w:rsidRPr="00000000">
        <w:rPr>
          <w:color w:val="ff0000"/>
          <w:rtl w:val="0"/>
        </w:rPr>
        <w:t xml:space="preserve">de “produits</w:t>
      </w:r>
      <w:r w:rsidDel="00000000" w:rsidR="00000000" w:rsidRPr="00000000">
        <w:rPr>
          <w:color w:val="ff0000"/>
          <w:rtl w:val="0"/>
        </w:rPr>
        <w:t xml:space="preserve"> chimiques plus </w:t>
      </w:r>
      <w:r w:rsidDel="00000000" w:rsidR="00000000" w:rsidRPr="00000000">
        <w:rPr>
          <w:color w:val="ff0000"/>
          <w:rtl w:val="0"/>
        </w:rPr>
        <w:t xml:space="preserve">sûrs”</w:t>
      </w:r>
      <w:r w:rsidDel="00000000" w:rsidR="00000000" w:rsidRPr="00000000">
        <w:rPr>
          <w:color w:val="ff0000"/>
          <w:rtl w:val="0"/>
        </w:rPr>
        <w:t xml:space="preserve">, ce qui n’est pas le cas de l’utilisation de cette molécule car elle est cancérigène.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color w:val="ff000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 jus de chou rouge comme indicateur coloré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minutes conseillées)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On souhaite préparer 50,0 mL d’une solution notée S en diluant d’un facteur 10 le vinaigre à disposition. Rassembler le matériel nécessaire à la réalisation de cette solution.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color w:val="ff000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color w:val="ff0000"/>
        </w:rPr>
      </w:pPr>
      <w:r w:rsidDel="00000000" w:rsidR="00000000" w:rsidRPr="00000000">
        <w:rPr>
          <w:color w:val="ff0000"/>
          <w:rtl w:val="0"/>
        </w:rPr>
        <w:t xml:space="preserve">Fiole jaugée de 50 mL, </w:t>
      </w:r>
      <w:r w:rsidDel="00000000" w:rsidR="00000000" w:rsidRPr="00000000">
        <w:rPr>
          <w:color w:val="ff0000"/>
          <w:rtl w:val="0"/>
        </w:rPr>
        <w:t xml:space="preserve">Pipetteur</w:t>
      </w:r>
      <w:r w:rsidDel="00000000" w:rsidR="00000000" w:rsidRPr="00000000">
        <w:rPr>
          <w:color w:val="ff0000"/>
          <w:rtl w:val="0"/>
        </w:rPr>
        <w:t xml:space="preserve">, pipette jaugée de 5 mL, Bécher (à volume supérieur que la pipette), Pissette d’eau distillée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6802"/>
        <w:gridCol w:w="1420"/>
        <w:tblGridChange w:id="0">
          <w:tblGrid>
            <w:gridCol w:w="1418"/>
            <w:gridCol w:w="6802"/>
            <w:gridCol w:w="1420"/>
          </w:tblGrid>
        </w:tblGridChange>
      </w:tblGrid>
      <w:tr>
        <w:trPr>
          <w:cantSplit w:val="0"/>
          <w:tblHeader w:val="0"/>
        </w:trPr>
        <w:tc>
          <w:tcPr>
            <w:tcBorders>
              <w:top w:color="000000" w:space="0" w:sz="18" w:val="single"/>
              <w:left w:color="000000" w:space="0" w:sz="18" w:val="single"/>
              <w:bottom w:color="000000" w:space="0" w:sz="6" w:val="single"/>
              <w:right w:color="000000" w:space="0" w:sz="0" w:val="nil"/>
            </w:tcBorders>
            <w:shd w:fill="d9d9d9" w:val="clear"/>
            <w:vAlign w:val="center"/>
          </w:tcPr>
          <w:p w:rsidR="00000000" w:rsidDel="00000000" w:rsidP="00000000" w:rsidRDefault="00000000" w:rsidRPr="00000000" w14:paraId="00000073">
            <w:pPr>
              <w:widowControl w:val="0"/>
              <w:jc w:val="center"/>
              <w:rPr>
                <w:color w:val="000000"/>
              </w:rPr>
            </w:pP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shd w:fill="d9d9d9"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 n°1</w:t>
            </w:r>
          </w:p>
        </w:tc>
        <w:tc>
          <w:tcPr>
            <w:tcBorders>
              <w:top w:color="000000" w:space="0" w:sz="18" w:val="single"/>
              <w:left w:color="000000" w:space="0" w:sz="0" w:val="nil"/>
              <w:bottom w:color="000000" w:space="0" w:sz="6" w:val="single"/>
              <w:right w:color="000000" w:space="0" w:sz="18" w:val="single"/>
            </w:tcBorders>
            <w:shd w:fill="d9d9d9" w:val="clear"/>
            <w:vAlign w:val="center"/>
          </w:tcPr>
          <w:p w:rsidR="00000000" w:rsidDel="00000000" w:rsidP="00000000" w:rsidRDefault="00000000" w:rsidRPr="00000000" w14:paraId="00000075">
            <w:pPr>
              <w:widowControl w:val="0"/>
              <w:jc w:val="center"/>
              <w:rPr>
                <w:color w:val="000000"/>
              </w:rPr>
            </w:pPr>
            <w:r w:rsidDel="00000000" w:rsidR="00000000" w:rsidRPr="00000000">
              <w:rPr>
                <w:rtl w:val="0"/>
              </w:rPr>
            </w:r>
          </w:p>
        </w:tc>
      </w:tr>
      <w:tr>
        <w:trPr>
          <w:cantSplit w:val="0"/>
          <w:tblHeader w:val="0"/>
        </w:trPr>
        <w:tc>
          <w:tcPr>
            <w:tcBorders>
              <w:top w:color="000000" w:space="0" w:sz="6" w:val="single"/>
              <w:left w:color="000000" w:space="0" w:sz="18" w:val="single"/>
              <w:bottom w:color="000000" w:space="0" w:sz="18" w:val="single"/>
              <w:right w:color="000000" w:space="0" w:sz="6" w:val="single"/>
            </w:tcBorders>
            <w:vAlign w:val="center"/>
          </w:tcPr>
          <w:p w:rsidR="00000000" w:rsidDel="00000000" w:rsidP="00000000" w:rsidRDefault="00000000" w:rsidRPr="00000000" w14:paraId="00000076">
            <w:pPr>
              <w:widowControl w:val="0"/>
              <w:jc w:val="center"/>
              <w:rPr>
                <w:color w:val="000000"/>
                <w:sz w:val="96"/>
                <w:szCs w:val="96"/>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Appeler le professeur pour lui présenter le matériel choisi ou en cas de difficulté</w:t>
            </w:r>
          </w:p>
        </w:tc>
        <w:tc>
          <w:tcPr>
            <w:tcBorders>
              <w:top w:color="000000" w:space="0" w:sz="6" w:val="single"/>
              <w:left w:color="000000" w:space="0" w:sz="6" w:val="single"/>
              <w:bottom w:color="000000" w:space="0" w:sz="18" w:val="single"/>
              <w:right w:color="000000" w:space="0" w:sz="18" w:val="single"/>
            </w:tcBorders>
            <w:vAlign w:val="center"/>
          </w:tcPr>
          <w:p w:rsidR="00000000" w:rsidDel="00000000" w:rsidP="00000000" w:rsidRDefault="00000000" w:rsidRPr="00000000" w14:paraId="00000078">
            <w:pPr>
              <w:widowControl w:val="0"/>
              <w:jc w:val="center"/>
              <w:rPr>
                <w:color w:val="000000"/>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Préparer la solution S à l’aide du matériel choisi.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À l’aide des informations et du matériel mis à disposition, proposer un protocole expérimental qui permette de vérifier que le jus de chou rouge peut être utilisé comme indicateur coloré lors du titrage de 10,0 mL de la solution S par une solution d’hydroxyde de sodium de concentration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0,10 mol·L</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cela, schématiser le dispositif expérimental, indiquer les informations à relever au cours du titrage et expliquer comment les exploiter.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5588747" cy="3147779"/>
            <wp:effectExtent b="0" l="0" r="0" t="0"/>
            <wp:docPr id="1887409130"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5588747" cy="3147779"/>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6802"/>
        <w:gridCol w:w="1420"/>
        <w:tblGridChange w:id="0">
          <w:tblGrid>
            <w:gridCol w:w="1418"/>
            <w:gridCol w:w="6802"/>
            <w:gridCol w:w="1420"/>
          </w:tblGrid>
        </w:tblGridChange>
      </w:tblGrid>
      <w:tr>
        <w:trPr>
          <w:cantSplit w:val="0"/>
          <w:tblHeader w:val="0"/>
        </w:trPr>
        <w:tc>
          <w:tcPr>
            <w:tcBorders>
              <w:top w:color="000000" w:space="0" w:sz="18" w:val="single"/>
              <w:left w:color="000000" w:space="0" w:sz="18" w:val="single"/>
              <w:bottom w:color="000000" w:space="0" w:sz="6" w:val="single"/>
              <w:right w:color="000000" w:space="0" w:sz="0" w:val="nil"/>
            </w:tcBorders>
            <w:shd w:fill="d9d9d9" w:val="clear"/>
            <w:vAlign w:val="center"/>
          </w:tcPr>
          <w:p w:rsidR="00000000" w:rsidDel="00000000" w:rsidP="00000000" w:rsidRDefault="00000000" w:rsidRPr="00000000" w14:paraId="00000082">
            <w:pPr>
              <w:widowControl w:val="0"/>
              <w:jc w:val="center"/>
              <w:rPr>
                <w:color w:val="000000"/>
              </w:rPr>
            </w:pP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shd w:fill="d9d9d9"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 n°2</w:t>
            </w:r>
          </w:p>
        </w:tc>
        <w:tc>
          <w:tcPr>
            <w:tcBorders>
              <w:top w:color="000000" w:space="0" w:sz="18" w:val="single"/>
              <w:left w:color="000000" w:space="0" w:sz="0" w:val="nil"/>
              <w:bottom w:color="000000" w:space="0" w:sz="6" w:val="single"/>
              <w:right w:color="000000" w:space="0" w:sz="18" w:val="single"/>
            </w:tcBorders>
            <w:shd w:fill="d9d9d9" w:val="clear"/>
            <w:vAlign w:val="center"/>
          </w:tcPr>
          <w:p w:rsidR="00000000" w:rsidDel="00000000" w:rsidP="00000000" w:rsidRDefault="00000000" w:rsidRPr="00000000" w14:paraId="00000084">
            <w:pPr>
              <w:widowControl w:val="0"/>
              <w:jc w:val="center"/>
              <w:rPr>
                <w:color w:val="000000"/>
              </w:rPr>
            </w:pPr>
            <w:r w:rsidDel="00000000" w:rsidR="00000000" w:rsidRPr="00000000">
              <w:rPr>
                <w:rtl w:val="0"/>
              </w:rPr>
            </w:r>
          </w:p>
        </w:tc>
      </w:tr>
      <w:tr>
        <w:trPr>
          <w:cantSplit w:val="0"/>
          <w:tblHeader w:val="0"/>
        </w:trPr>
        <w:tc>
          <w:tcPr>
            <w:tcBorders>
              <w:top w:color="000000" w:space="0" w:sz="6" w:val="single"/>
              <w:left w:color="000000" w:space="0" w:sz="18" w:val="single"/>
              <w:bottom w:color="000000" w:space="0" w:sz="18" w:val="single"/>
              <w:right w:color="000000" w:space="0" w:sz="6" w:val="single"/>
            </w:tcBorders>
            <w:vAlign w:val="center"/>
          </w:tcPr>
          <w:p w:rsidR="00000000" w:rsidDel="00000000" w:rsidP="00000000" w:rsidRDefault="00000000" w:rsidRPr="00000000" w14:paraId="00000085">
            <w:pPr>
              <w:widowControl w:val="0"/>
              <w:jc w:val="center"/>
              <w:rPr>
                <w:color w:val="000000"/>
                <w:sz w:val="96"/>
                <w:szCs w:val="96"/>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Appeler le professeur pour lui présenter le protocole ou en cas de difficulté</w:t>
            </w:r>
          </w:p>
        </w:tc>
        <w:tc>
          <w:tcPr>
            <w:tcBorders>
              <w:top w:color="000000" w:space="0" w:sz="6" w:val="single"/>
              <w:left w:color="000000" w:space="0" w:sz="6" w:val="single"/>
              <w:bottom w:color="000000" w:space="0" w:sz="18" w:val="single"/>
              <w:right w:color="000000" w:space="0" w:sz="18" w:val="single"/>
            </w:tcBorders>
            <w:vAlign w:val="center"/>
          </w:tcPr>
          <w:p w:rsidR="00000000" w:rsidDel="00000000" w:rsidP="00000000" w:rsidRDefault="00000000" w:rsidRPr="00000000" w14:paraId="00000087">
            <w:pPr>
              <w:widowControl w:val="0"/>
              <w:jc w:val="center"/>
              <w:rPr>
                <w:color w:val="000000"/>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Mettre en œuvre le protocole proposé.</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Comparaison entre la phénolphtaléine et le jus de chou rouge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minutes conseillées)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phénolphtaléine a longtemps été utilisée comme indicateur coloré pour ce type de titrage.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Conclure quant à la possibilité de substitution de la phénolphtaléine par le jus de chou rouge pour le titrage de la solution S réalisé.</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color w:val="ff0000"/>
          <w:rtl w:val="0"/>
        </w:rPr>
        <w:t xml:space="preserve">Si l’une des zones de virage du jus de chou correspond plus ou moins à celle de la phénolphtaléine, soit que le jus de chou rouge a une zone de virage centré autour du pH eq de ce type de titrage alors on peut en conclure s’il y a possibilité de substitution.</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6802"/>
        <w:gridCol w:w="1420"/>
        <w:tblGridChange w:id="0">
          <w:tblGrid>
            <w:gridCol w:w="1418"/>
            <w:gridCol w:w="6802"/>
            <w:gridCol w:w="1420"/>
          </w:tblGrid>
        </w:tblGridChange>
      </w:tblGrid>
      <w:tr>
        <w:trPr>
          <w:cantSplit w:val="0"/>
          <w:tblHeader w:val="0"/>
        </w:trPr>
        <w:tc>
          <w:tcPr>
            <w:tcBorders>
              <w:top w:color="000000" w:space="0" w:sz="18" w:val="single"/>
              <w:left w:color="000000" w:space="0" w:sz="18" w:val="single"/>
              <w:bottom w:color="000000" w:space="0" w:sz="6" w:val="single"/>
              <w:right w:color="000000" w:space="0" w:sz="0" w:val="nil"/>
            </w:tcBorders>
            <w:shd w:fill="d9d9d9" w:val="clear"/>
            <w:vAlign w:val="center"/>
          </w:tcPr>
          <w:p w:rsidR="00000000" w:rsidDel="00000000" w:rsidP="00000000" w:rsidRDefault="00000000" w:rsidRPr="00000000" w14:paraId="00000093">
            <w:pPr>
              <w:widowControl w:val="0"/>
              <w:jc w:val="center"/>
              <w:rPr>
                <w:color w:val="000000"/>
              </w:rPr>
            </w:pP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shd w:fill="d9d9d9"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 FACULTATIF</w:t>
            </w:r>
          </w:p>
        </w:tc>
        <w:tc>
          <w:tcPr>
            <w:tcBorders>
              <w:top w:color="000000" w:space="0" w:sz="18" w:val="single"/>
              <w:left w:color="000000" w:space="0" w:sz="0" w:val="nil"/>
              <w:bottom w:color="000000" w:space="0" w:sz="6" w:val="single"/>
              <w:right w:color="000000" w:space="0" w:sz="18" w:val="single"/>
            </w:tcBorders>
            <w:shd w:fill="d9d9d9" w:val="clear"/>
            <w:vAlign w:val="center"/>
          </w:tcPr>
          <w:p w:rsidR="00000000" w:rsidDel="00000000" w:rsidP="00000000" w:rsidRDefault="00000000" w:rsidRPr="00000000" w14:paraId="00000095">
            <w:pPr>
              <w:widowControl w:val="0"/>
              <w:jc w:val="center"/>
              <w:rPr>
                <w:color w:val="000000"/>
              </w:rPr>
            </w:pPr>
            <w:r w:rsidDel="00000000" w:rsidR="00000000" w:rsidRPr="00000000">
              <w:rPr>
                <w:rtl w:val="0"/>
              </w:rPr>
            </w:r>
          </w:p>
        </w:tc>
      </w:tr>
      <w:tr>
        <w:trPr>
          <w:cantSplit w:val="0"/>
          <w:tblHeader w:val="0"/>
        </w:trPr>
        <w:tc>
          <w:tcPr>
            <w:tcBorders>
              <w:top w:color="000000" w:space="0" w:sz="6" w:val="single"/>
              <w:left w:color="000000" w:space="0" w:sz="18" w:val="single"/>
              <w:bottom w:color="000000" w:space="0" w:sz="18" w:val="single"/>
              <w:right w:color="000000" w:space="0" w:sz="6" w:val="single"/>
            </w:tcBorders>
            <w:vAlign w:val="center"/>
          </w:tcPr>
          <w:p w:rsidR="00000000" w:rsidDel="00000000" w:rsidP="00000000" w:rsidRDefault="00000000" w:rsidRPr="00000000" w14:paraId="00000096">
            <w:pPr>
              <w:widowControl w:val="0"/>
              <w:jc w:val="center"/>
              <w:rPr>
                <w:color w:val="000000"/>
                <w:sz w:val="96"/>
                <w:szCs w:val="96"/>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Appeler le professeur en cas de difficulté</w:t>
            </w:r>
          </w:p>
        </w:tc>
        <w:tc>
          <w:tcPr>
            <w:tcBorders>
              <w:top w:color="000000" w:space="0" w:sz="6" w:val="single"/>
              <w:left w:color="000000" w:space="0" w:sz="6" w:val="single"/>
              <w:bottom w:color="000000" w:space="0" w:sz="18" w:val="single"/>
              <w:right w:color="000000" w:space="0" w:sz="18" w:val="single"/>
            </w:tcBorders>
            <w:vAlign w:val="center"/>
          </w:tcPr>
          <w:p w:rsidR="00000000" w:rsidDel="00000000" w:rsidP="00000000" w:rsidRDefault="00000000" w:rsidRPr="00000000" w14:paraId="00000098">
            <w:pPr>
              <w:widowControl w:val="0"/>
              <w:jc w:val="center"/>
              <w:rPr>
                <w:color w:val="000000"/>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r>
    </w:tb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Défaire le montage et ranger la paillasse avant de quitter la salle.</w:t>
      </w:r>
    </w:p>
    <w:sectPr>
      <w:type w:val="continuous"/>
      <w:pgSz w:h="16838" w:w="11906" w:orient="portrait"/>
      <w:pgMar w:bottom="851" w:top="908" w:left="851" w:right="851" w:header="851"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851"/>
        <w:tab w:val="center" w:leader="none" w:pos="5103"/>
        <w:tab w:val="center" w:leader="none"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 DE CHOU ROUGE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Session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851"/>
        <w:tab w:val="center" w:leader="none" w:pos="5103"/>
        <w:tab w:val="center" w:leader="none"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2024</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851"/>
        <w:tab w:val="center" w:leader="none" w:pos="5103"/>
        <w:tab w:val="center" w:leader="none"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068" w:hanging="360"/>
      </w:pPr>
      <w:rPr>
        <w:rFonts w:ascii="Courier New" w:cs="Courier New" w:eastAsia="Courier New" w:hAnsi="Courier New"/>
      </w:rPr>
    </w:lvl>
    <w:lvl w:ilvl="2">
      <w:start w:val="1"/>
      <w:numFmt w:val="bullet"/>
      <w:lvlText w:val="−"/>
      <w:lvlJc w:val="left"/>
      <w:pPr>
        <w:ind w:left="1788" w:hanging="360"/>
      </w:pPr>
      <w:rPr>
        <w:rFonts w:ascii="Noto Sans Symbols" w:cs="Noto Sans Symbols" w:eastAsia="Noto Sans Symbols" w:hAnsi="Noto Sans Symbols"/>
      </w:rPr>
    </w:lvl>
    <w:lvl w:ilvl="3">
      <w:start w:val="1"/>
      <w:numFmt w:val="bullet"/>
      <w:lvlText w:val="●"/>
      <w:lvlJc w:val="left"/>
      <w:pPr>
        <w:ind w:left="2508" w:hanging="360"/>
      </w:pPr>
      <w:rPr>
        <w:rFonts w:ascii="Noto Sans Symbols" w:cs="Noto Sans Symbols" w:eastAsia="Noto Sans Symbols" w:hAnsi="Noto Sans Symbols"/>
      </w:rPr>
    </w:lvl>
    <w:lvl w:ilvl="4">
      <w:start w:val="1"/>
      <w:numFmt w:val="bullet"/>
      <w:lvlText w:val="o"/>
      <w:lvlJc w:val="left"/>
      <w:pPr>
        <w:ind w:left="3228" w:hanging="360"/>
      </w:pPr>
      <w:rPr>
        <w:rFonts w:ascii="Courier New" w:cs="Courier New" w:eastAsia="Courier New" w:hAnsi="Courier New"/>
      </w:rPr>
    </w:lvl>
    <w:lvl w:ilvl="5">
      <w:start w:val="1"/>
      <w:numFmt w:val="bullet"/>
      <w:lvlText w:val="▪"/>
      <w:lvlJc w:val="left"/>
      <w:pPr>
        <w:ind w:left="3948" w:hanging="360"/>
      </w:pPr>
      <w:rPr>
        <w:rFonts w:ascii="Noto Sans Symbols" w:cs="Noto Sans Symbols" w:eastAsia="Noto Sans Symbols" w:hAnsi="Noto Sans Symbols"/>
      </w:rPr>
    </w:lvl>
    <w:lvl w:ilvl="6">
      <w:start w:val="1"/>
      <w:numFmt w:val="bullet"/>
      <w:lvlText w:val="●"/>
      <w:lvlJc w:val="left"/>
      <w:pPr>
        <w:ind w:left="4668" w:hanging="360"/>
      </w:pPr>
      <w:rPr>
        <w:rFonts w:ascii="Noto Sans Symbols" w:cs="Noto Sans Symbols" w:eastAsia="Noto Sans Symbols" w:hAnsi="Noto Sans Symbols"/>
      </w:rPr>
    </w:lvl>
    <w:lvl w:ilvl="7">
      <w:start w:val="1"/>
      <w:numFmt w:val="bullet"/>
      <w:lvlText w:val="o"/>
      <w:lvlJc w:val="left"/>
      <w:pPr>
        <w:ind w:left="5388" w:hanging="360"/>
      </w:pPr>
      <w:rPr>
        <w:rFonts w:ascii="Courier New" w:cs="Courier New" w:eastAsia="Courier New" w:hAnsi="Courier New"/>
      </w:rPr>
    </w:lvl>
    <w:lvl w:ilvl="8">
      <w:start w:val="1"/>
      <w:numFmt w:val="bullet"/>
      <w:lvlText w:val="▪"/>
      <w:lvlJc w:val="left"/>
      <w:pPr>
        <w:ind w:left="6108" w:hanging="360"/>
      </w:pPr>
      <w:rPr>
        <w:rFonts w:ascii="Noto Sans Symbols" w:cs="Noto Sans Symbols" w:eastAsia="Noto Sans Symbols" w:hAnsi="Noto Sans Symbols"/>
      </w:rPr>
    </w:lvl>
  </w:abstractNum>
  <w:abstractNum w:abstractNumId="3">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068" w:hanging="360"/>
      </w:pPr>
      <w:rPr>
        <w:rFonts w:ascii="Courier New" w:cs="Courier New" w:eastAsia="Courier New" w:hAnsi="Courier New"/>
      </w:rPr>
    </w:lvl>
    <w:lvl w:ilvl="2">
      <w:start w:val="1"/>
      <w:numFmt w:val="bullet"/>
      <w:lvlText w:val="o"/>
      <w:lvlJc w:val="left"/>
      <w:pPr>
        <w:ind w:left="1788" w:hanging="360"/>
      </w:pPr>
      <w:rPr>
        <w:rFonts w:ascii="Courier New" w:cs="Courier New" w:eastAsia="Courier New" w:hAnsi="Courier New"/>
      </w:rPr>
    </w:lvl>
    <w:lvl w:ilvl="3">
      <w:start w:val="1"/>
      <w:numFmt w:val="bullet"/>
      <w:lvlText w:val="●"/>
      <w:lvlJc w:val="left"/>
      <w:pPr>
        <w:ind w:left="2508" w:hanging="360"/>
      </w:pPr>
      <w:rPr>
        <w:rFonts w:ascii="Noto Sans Symbols" w:cs="Noto Sans Symbols" w:eastAsia="Noto Sans Symbols" w:hAnsi="Noto Sans Symbols"/>
      </w:rPr>
    </w:lvl>
    <w:lvl w:ilvl="4">
      <w:start w:val="1"/>
      <w:numFmt w:val="bullet"/>
      <w:lvlText w:val="o"/>
      <w:lvlJc w:val="left"/>
      <w:pPr>
        <w:ind w:left="3228" w:hanging="360"/>
      </w:pPr>
      <w:rPr>
        <w:rFonts w:ascii="Courier New" w:cs="Courier New" w:eastAsia="Courier New" w:hAnsi="Courier New"/>
      </w:rPr>
    </w:lvl>
    <w:lvl w:ilvl="5">
      <w:start w:val="1"/>
      <w:numFmt w:val="bullet"/>
      <w:lvlText w:val="▪"/>
      <w:lvlJc w:val="left"/>
      <w:pPr>
        <w:ind w:left="3948" w:hanging="360"/>
      </w:pPr>
      <w:rPr>
        <w:rFonts w:ascii="Noto Sans Symbols" w:cs="Noto Sans Symbols" w:eastAsia="Noto Sans Symbols" w:hAnsi="Noto Sans Symbols"/>
      </w:rPr>
    </w:lvl>
    <w:lvl w:ilvl="6">
      <w:start w:val="1"/>
      <w:numFmt w:val="bullet"/>
      <w:lvlText w:val="●"/>
      <w:lvlJc w:val="left"/>
      <w:pPr>
        <w:ind w:left="4668" w:hanging="360"/>
      </w:pPr>
      <w:rPr>
        <w:rFonts w:ascii="Noto Sans Symbols" w:cs="Noto Sans Symbols" w:eastAsia="Noto Sans Symbols" w:hAnsi="Noto Sans Symbols"/>
      </w:rPr>
    </w:lvl>
    <w:lvl w:ilvl="7">
      <w:start w:val="1"/>
      <w:numFmt w:val="bullet"/>
      <w:lvlText w:val="o"/>
      <w:lvlJc w:val="left"/>
      <w:pPr>
        <w:ind w:left="5388" w:hanging="360"/>
      </w:pPr>
      <w:rPr>
        <w:rFonts w:ascii="Courier New" w:cs="Courier New" w:eastAsia="Courier New" w:hAnsi="Courier New"/>
      </w:rPr>
    </w:lvl>
    <w:lvl w:ilvl="8">
      <w:start w:val="1"/>
      <w:numFmt w:val="bullet"/>
      <w:lvlText w:val="▪"/>
      <w:lvlJc w:val="left"/>
      <w:pPr>
        <w:ind w:left="610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 w:sz="12" w:val="single"/>
        <w:left w:color="000000" w:space="1" w:sz="12" w:val="single"/>
        <w:bottom w:color="000000" w:space="1" w:sz="12" w:val="single"/>
        <w:right w:color="000000" w:space="1" w:sz="12" w:val="single"/>
      </w:pBdr>
      <w:shd w:fill="d9d9d9" w:val="clear"/>
      <w:tabs>
        <w:tab w:val="left" w:leader="none" w:pos="-1985"/>
        <w:tab w:val="left" w:leader="none" w:pos="567"/>
      </w:tabs>
      <w:ind w:left="0" w:firstLine="0"/>
      <w:jc w:val="center"/>
    </w:pPr>
    <w:rPr>
      <w:b w:val="1"/>
    </w:rPr>
  </w:style>
  <w:style w:type="paragraph" w:styleId="Heading2">
    <w:name w:val="heading 2"/>
    <w:basedOn w:val="Normal"/>
    <w:next w:val="Normal"/>
    <w:pPr>
      <w:keepNext w:val="1"/>
      <w:ind w:left="567" w:hanging="567"/>
    </w:pPr>
    <w:rPr>
      <w:b w:val="1"/>
    </w:rPr>
  </w:style>
  <w:style w:type="paragraph" w:styleId="Heading3">
    <w:name w:val="heading 3"/>
    <w:basedOn w:val="Normal"/>
    <w:next w:val="Normal"/>
    <w:pPr>
      <w:keepNext w:val="1"/>
      <w:ind w:left="1418" w:hanging="850"/>
    </w:pPr>
    <w:rPr/>
  </w:style>
  <w:style w:type="paragraph" w:styleId="Heading4">
    <w:name w:val="heading 4"/>
    <w:basedOn w:val="Normal"/>
    <w:next w:val="Normal"/>
    <w:pPr>
      <w:ind w:left="2211" w:hanging="1131"/>
    </w:pPr>
    <w:rPr/>
  </w:style>
  <w:style w:type="paragraph" w:styleId="Heading5">
    <w:name w:val="heading 5"/>
    <w:basedOn w:val="Normal"/>
    <w:next w:val="Normal"/>
    <w:pPr>
      <w:keepNext w:val="1"/>
      <w:tabs>
        <w:tab w:val="left" w:leader="none" w:pos="-1985"/>
      </w:tabs>
    </w:pPr>
    <w:rPr>
      <w:rFonts w:ascii="Garamond" w:cs="Garamond" w:eastAsia="Garamond" w:hAnsi="Garamond"/>
      <w:b w:val="1"/>
    </w:rPr>
  </w:style>
  <w:style w:type="paragraph" w:styleId="Heading6">
    <w:name w:val="heading 6"/>
    <w:basedOn w:val="Normal"/>
    <w:next w:val="Normal"/>
    <w:pPr>
      <w:keepNext w:val="1"/>
      <w:ind w:right="-2472"/>
    </w:pPr>
    <w:rPr>
      <w:i w:val="1"/>
      <w:color w:val="ff000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356DD6"/>
    <w:pPr>
      <w:spacing w:line="264" w:lineRule="auto"/>
      <w:jc w:val="both"/>
    </w:pPr>
    <w:rPr>
      <w:rFonts w:ascii="Arial" w:cs="Arial" w:hAnsi="Arial"/>
      <w:color w:val="000000"/>
    </w:rPr>
  </w:style>
  <w:style w:type="paragraph" w:styleId="Titre1">
    <w:name w:val="heading 1"/>
    <w:basedOn w:val="Normal"/>
    <w:next w:val="Normal"/>
    <w:qFormat w:val="1"/>
    <w:rsid w:val="00D9409B"/>
    <w:pPr>
      <w:numPr>
        <w:numId w:val="1"/>
      </w:numPr>
      <w:pBdr>
        <w:top w:color="000000" w:space="1" w:sz="12" w:val="single"/>
        <w:left w:color="000000" w:space="1" w:sz="12" w:val="single"/>
        <w:bottom w:color="000000" w:space="1" w:sz="12" w:val="single"/>
        <w:right w:color="000000" w:space="1" w:sz="12" w:val="single"/>
      </w:pBdr>
      <w:shd w:color="auto" w:fill="ffffff" w:val="pct15"/>
      <w:tabs>
        <w:tab w:val="left" w:pos="-1985"/>
        <w:tab w:val="left" w:pos="567"/>
      </w:tabs>
      <w:jc w:val="center"/>
      <w:outlineLvl w:val="0"/>
    </w:pPr>
    <w:rPr>
      <w:b w:val="1"/>
      <w:bCs w:val="1"/>
    </w:rPr>
  </w:style>
  <w:style w:type="paragraph" w:styleId="Titre2">
    <w:name w:val="heading 2"/>
    <w:basedOn w:val="Normal"/>
    <w:next w:val="Normal"/>
    <w:link w:val="Titre2Car"/>
    <w:qFormat w:val="1"/>
    <w:rsid w:val="00207C64"/>
    <w:pPr>
      <w:keepNext w:val="1"/>
      <w:numPr>
        <w:ilvl w:val="1"/>
        <w:numId w:val="1"/>
      </w:numPr>
      <w:outlineLvl w:val="1"/>
    </w:pPr>
    <w:rPr>
      <w:b w:val="1"/>
    </w:rPr>
  </w:style>
  <w:style w:type="paragraph" w:styleId="Titre3">
    <w:name w:val="heading 3"/>
    <w:basedOn w:val="Normal"/>
    <w:next w:val="Titre4"/>
    <w:qFormat w:val="1"/>
    <w:rsid w:val="00125FB0"/>
    <w:pPr>
      <w:keepNext w:val="1"/>
      <w:numPr>
        <w:ilvl w:val="2"/>
        <w:numId w:val="1"/>
      </w:numPr>
      <w:outlineLvl w:val="2"/>
    </w:pPr>
  </w:style>
  <w:style w:type="paragraph" w:styleId="Titre4">
    <w:name w:val="heading 4"/>
    <w:basedOn w:val="Normal"/>
    <w:next w:val="Normal"/>
    <w:autoRedefine w:val="1"/>
    <w:qFormat w:val="1"/>
    <w:rsid w:val="00354EBD"/>
    <w:pPr>
      <w:numPr>
        <w:ilvl w:val="3"/>
        <w:numId w:val="1"/>
      </w:numPr>
      <w:outlineLvl w:val="3"/>
    </w:pPr>
  </w:style>
  <w:style w:type="paragraph" w:styleId="Titre5">
    <w:name w:val="heading 5"/>
    <w:basedOn w:val="Normal"/>
    <w:next w:val="Normal"/>
    <w:qFormat w:val="1"/>
    <w:rsid w:val="001D6C11"/>
    <w:pPr>
      <w:keepNext w:val="1"/>
      <w:tabs>
        <w:tab w:val="left" w:pos="-1985"/>
      </w:tabs>
      <w:outlineLvl w:val="4"/>
    </w:pPr>
    <w:rPr>
      <w:rFonts w:ascii="Garamond" w:hAnsi="Garamond"/>
      <w:b w:val="1"/>
      <w:bCs w:val="1"/>
    </w:rPr>
  </w:style>
  <w:style w:type="paragraph" w:styleId="Titre6">
    <w:name w:val="heading 6"/>
    <w:basedOn w:val="Normal"/>
    <w:next w:val="Normal"/>
    <w:qFormat w:val="1"/>
    <w:rsid w:val="001D6C11"/>
    <w:pPr>
      <w:keepNext w:val="1"/>
      <w:ind w:right="-2472"/>
      <w:outlineLvl w:val="5"/>
    </w:pPr>
    <w:rPr>
      <w:i w:val="1"/>
      <w:color w:val="ff0000"/>
    </w:rPr>
  </w:style>
  <w:style w:type="paragraph" w:styleId="Titre7">
    <w:name w:val="heading 7"/>
    <w:basedOn w:val="Normal"/>
    <w:next w:val="Normal"/>
    <w:qFormat w:val="1"/>
    <w:rsid w:val="001D6C11"/>
    <w:pPr>
      <w:keepNext w:val="1"/>
      <w:tabs>
        <w:tab w:val="left" w:pos="-1985"/>
      </w:tabs>
      <w:jc w:val="center"/>
      <w:outlineLvl w:val="6"/>
    </w:pPr>
    <w:rPr>
      <w:b w:val="1"/>
      <w:bCs w:val="1"/>
      <w:sz w:val="28"/>
      <w:szCs w:val="28"/>
    </w:rPr>
  </w:style>
  <w:style w:type="paragraph" w:styleId="Titre8">
    <w:name w:val="heading 8"/>
    <w:basedOn w:val="Normal"/>
    <w:next w:val="Normal"/>
    <w:qFormat w:val="1"/>
    <w:rsid w:val="001D6C11"/>
    <w:pPr>
      <w:keepNext w:val="1"/>
      <w:tabs>
        <w:tab w:val="left" w:pos="-1985"/>
      </w:tabs>
      <w:ind w:left="-567" w:right="-483"/>
      <w:outlineLvl w:val="7"/>
    </w:pPr>
    <w:rPr>
      <w:b w:val="1"/>
      <w:bCs w:val="1"/>
      <w:sz w:val="28"/>
      <w:szCs w:val="28"/>
    </w:rPr>
  </w:style>
  <w:style w:type="paragraph" w:styleId="Titre9">
    <w:name w:val="heading 9"/>
    <w:basedOn w:val="Normal"/>
    <w:next w:val="Normal"/>
    <w:qFormat w:val="1"/>
    <w:rsid w:val="001D6C11"/>
    <w:pPr>
      <w:keepNext w:val="1"/>
      <w:outlineLvl w:val="8"/>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Marquedecommentaire">
    <w:name w:val="annotation reference"/>
    <w:semiHidden w:val="1"/>
    <w:qFormat w:val="1"/>
    <w:rsid w:val="001D6C11"/>
    <w:rPr>
      <w:sz w:val="16"/>
      <w:szCs w:val="16"/>
    </w:rPr>
  </w:style>
  <w:style w:type="character" w:styleId="Titre2Car" w:customStyle="1">
    <w:name w:val="Titre 2 Car"/>
    <w:link w:val="Titre2"/>
    <w:qFormat w:val="1"/>
    <w:rsid w:val="00BF76AC"/>
    <w:rPr>
      <w:rFonts w:ascii="Arial" w:cs="Arial" w:hAnsi="Arial"/>
      <w:b w:val="1"/>
      <w:color w:val="000000"/>
    </w:rPr>
  </w:style>
  <w:style w:type="paragraph" w:styleId="Titre">
    <w:name w:val="Title"/>
    <w:basedOn w:val="Normal"/>
    <w:next w:val="Corpsdetexte"/>
    <w:qFormat w:val="1"/>
    <w:pPr>
      <w:keepNext w:val="1"/>
      <w:spacing w:after="120" w:before="24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val="1"/>
    <w:pPr>
      <w:suppressLineNumbers w:val="1"/>
      <w:spacing w:after="120" w:before="120"/>
    </w:pPr>
    <w:rPr>
      <w:i w:val="1"/>
      <w:iCs w:val="1"/>
      <w:sz w:val="24"/>
      <w:szCs w:val="24"/>
    </w:rPr>
  </w:style>
  <w:style w:type="paragraph" w:styleId="Index" w:customStyle="1">
    <w:name w:val="Index"/>
    <w:basedOn w:val="Normal"/>
    <w:qFormat w:val="1"/>
    <w:pPr>
      <w:suppressLineNumbers w:val="1"/>
    </w:pPr>
  </w:style>
  <w:style w:type="paragraph" w:styleId="ECErepres" w:customStyle="1">
    <w:name w:val="ECErepères"/>
    <w:basedOn w:val="ECEcorps"/>
    <w:qFormat w:val="1"/>
    <w:rsid w:val="00197F7D"/>
    <w:pPr>
      <w:jc w:val="center"/>
    </w:pPr>
    <w:rPr>
      <w:sz w:val="18"/>
      <w:szCs w:val="18"/>
    </w:rPr>
  </w:style>
  <w:style w:type="paragraph" w:styleId="ECEappel" w:customStyle="1">
    <w:name w:val="ECEappel"/>
    <w:basedOn w:val="ECEcorps"/>
    <w:qFormat w:val="1"/>
    <w:rsid w:val="00FB14E2"/>
    <w:pPr>
      <w:jc w:val="center"/>
    </w:pPr>
    <w:rPr>
      <w:rFonts w:eastAsia="Arial Unicode MS"/>
      <w:b w:val="1"/>
    </w:rPr>
  </w:style>
  <w:style w:type="paragraph" w:styleId="Retraitnormal">
    <w:name w:val="Normal Indent"/>
    <w:basedOn w:val="Normal"/>
    <w:qFormat w:val="1"/>
    <w:rsid w:val="001D6C11"/>
    <w:pPr>
      <w:tabs>
        <w:tab w:val="left" w:pos="-1985"/>
      </w:tabs>
      <w:ind w:left="708"/>
    </w:pPr>
  </w:style>
  <w:style w:type="paragraph" w:styleId="En-tteetpieddepage" w:customStyle="1">
    <w:name w:val="En-tête et pied de page"/>
    <w:basedOn w:val="Normal"/>
    <w:qFormat w:val="1"/>
  </w:style>
  <w:style w:type="paragraph" w:styleId="Pieddepage">
    <w:name w:val="footer"/>
    <w:basedOn w:val="Normal"/>
    <w:rsid w:val="001D6C11"/>
    <w:pPr>
      <w:tabs>
        <w:tab w:val="left" w:pos="-1985"/>
        <w:tab w:val="center" w:pos="4536"/>
        <w:tab w:val="right" w:pos="9072"/>
      </w:tabs>
    </w:pPr>
    <w:rPr>
      <w:sz w:val="22"/>
      <w:szCs w:val="22"/>
    </w:rPr>
  </w:style>
  <w:style w:type="paragraph" w:styleId="remarque" w:customStyle="1">
    <w:name w:val="remarque"/>
    <w:basedOn w:val="Normal"/>
    <w:qFormat w:val="1"/>
    <w:rsid w:val="001D6C11"/>
    <w:pPr>
      <w:tabs>
        <w:tab w:val="left" w:pos="-1985"/>
      </w:tabs>
    </w:pPr>
    <w:rPr>
      <w:b w:val="1"/>
      <w:bCs w:val="1"/>
    </w:rPr>
  </w:style>
  <w:style w:type="paragraph" w:styleId="Retraitcorpsdetexte">
    <w:name w:val="Body Text Indent"/>
    <w:basedOn w:val="Normal"/>
    <w:rsid w:val="001D6C11"/>
    <w:pPr>
      <w:tabs>
        <w:tab w:val="left" w:pos="-1985"/>
      </w:tabs>
      <w:ind w:firstLine="426"/>
    </w:pPr>
    <w:rPr>
      <w:sz w:val="22"/>
      <w:szCs w:val="22"/>
    </w:rPr>
  </w:style>
  <w:style w:type="paragraph" w:styleId="En-tte">
    <w:name w:val="header"/>
    <w:basedOn w:val="Normal"/>
    <w:rsid w:val="001D6C11"/>
    <w:pPr>
      <w:tabs>
        <w:tab w:val="left" w:pos="-1985"/>
        <w:tab w:val="center" w:pos="4536"/>
        <w:tab w:val="right" w:pos="9072"/>
      </w:tabs>
    </w:pPr>
  </w:style>
  <w:style w:type="paragraph" w:styleId="Notedebasdepage">
    <w:name w:val="footnote text"/>
    <w:basedOn w:val="Normal"/>
    <w:semiHidden w:val="1"/>
    <w:rsid w:val="001D6C11"/>
  </w:style>
  <w:style w:type="paragraph" w:styleId="Sous-titre">
    <w:name w:val="Subtitle"/>
    <w:basedOn w:val="Normal"/>
    <w:qFormat w:val="1"/>
    <w:rsid w:val="001D6C11"/>
    <w:pPr>
      <w:jc w:val="center"/>
    </w:pPr>
    <w:rPr>
      <w:b w:val="1"/>
      <w:i w:val="1"/>
      <w:sz w:val="28"/>
    </w:rPr>
  </w:style>
  <w:style w:type="paragraph" w:styleId="Commentaire">
    <w:name w:val="annotation text"/>
    <w:basedOn w:val="Normal"/>
    <w:semiHidden w:val="1"/>
    <w:qFormat w:val="1"/>
    <w:rsid w:val="001D6C11"/>
  </w:style>
  <w:style w:type="paragraph" w:styleId="Objetducommentaire">
    <w:name w:val="annotation subject"/>
    <w:basedOn w:val="Commentaire"/>
    <w:next w:val="Commentaire"/>
    <w:semiHidden w:val="1"/>
    <w:qFormat w:val="1"/>
    <w:rsid w:val="001D6C11"/>
    <w:rPr>
      <w:b w:val="1"/>
      <w:bCs w:val="1"/>
    </w:rPr>
  </w:style>
  <w:style w:type="paragraph" w:styleId="Textedebulles">
    <w:name w:val="Balloon Text"/>
    <w:basedOn w:val="Normal"/>
    <w:qFormat w:val="1"/>
    <w:rsid w:val="001D6C11"/>
    <w:rPr>
      <w:rFonts w:ascii="Tahoma" w:cs="Tahoma" w:hAnsi="Tahoma"/>
      <w:sz w:val="16"/>
      <w:szCs w:val="16"/>
    </w:rPr>
  </w:style>
  <w:style w:type="paragraph" w:styleId="TM1">
    <w:name w:val="toc 1"/>
    <w:basedOn w:val="ECEcorps"/>
    <w:next w:val="Normal"/>
    <w:uiPriority w:val="39"/>
    <w:qFormat w:val="1"/>
    <w:rsid w:val="00CA6FD0"/>
    <w:pPr>
      <w:tabs>
        <w:tab w:val="left" w:pos="284"/>
        <w:tab w:val="right" w:leader="dot" w:pos="9628"/>
      </w:tabs>
    </w:pPr>
  </w:style>
  <w:style w:type="paragraph" w:styleId="TM2">
    <w:name w:val="toc 2"/>
    <w:basedOn w:val="Normal"/>
    <w:next w:val="Normal"/>
    <w:uiPriority w:val="39"/>
    <w:unhideWhenUsed w:val="1"/>
    <w:qFormat w:val="1"/>
    <w:rsid w:val="00910B6F"/>
    <w:pPr>
      <w:tabs>
        <w:tab w:val="right" w:leader="dot" w:pos="9628"/>
      </w:tabs>
      <w:spacing w:after="100" w:line="276" w:lineRule="auto"/>
      <w:ind w:left="221"/>
    </w:pPr>
    <w:rPr>
      <w:color w:val="auto"/>
      <w:lang w:eastAsia="en-US"/>
    </w:rPr>
  </w:style>
  <w:style w:type="paragraph" w:styleId="TM3">
    <w:name w:val="toc 3"/>
    <w:basedOn w:val="Normal"/>
    <w:next w:val="Normal"/>
    <w:autoRedefine w:val="1"/>
    <w:uiPriority w:val="39"/>
    <w:unhideWhenUsed w:val="1"/>
    <w:rsid w:val="00A20F44"/>
    <w:pPr>
      <w:tabs>
        <w:tab w:val="right" w:leader="dot" w:pos="9628"/>
      </w:tabs>
      <w:spacing w:after="100" w:line="276" w:lineRule="auto"/>
      <w:ind w:left="442"/>
    </w:pPr>
    <w:rPr>
      <w:rFonts w:ascii="Calibri" w:cs="Times New Roman" w:hAnsi="Calibri"/>
      <w:color w:val="auto"/>
      <w:sz w:val="22"/>
      <w:szCs w:val="22"/>
      <w:lang w:eastAsia="en-US"/>
    </w:rPr>
  </w:style>
  <w:style w:type="paragraph" w:styleId="StyleGrasCentrMotifTransparenteArrire-plan2" w:customStyle="1">
    <w:name w:val="Style Gras Centré Motif : Transparente (Arrière-plan 2)"/>
    <w:basedOn w:val="Normal"/>
    <w:qFormat w:val="1"/>
    <w:rsid w:val="00B97EB7"/>
    <w:pPr>
      <w:shd w:color="auto" w:fill="eeece1" w:val="clear"/>
      <w:jc w:val="center"/>
    </w:pPr>
    <w:rPr>
      <w:rFonts w:cs="Times New Roman"/>
      <w:b w:val="1"/>
      <w:bCs w:val="1"/>
    </w:rPr>
  </w:style>
  <w:style w:type="paragraph" w:styleId="Default" w:customStyle="1">
    <w:name w:val="Default"/>
    <w:uiPriority w:val="99"/>
    <w:qFormat w:val="1"/>
    <w:rsid w:val="00BF76AC"/>
    <w:rPr>
      <w:rFonts w:ascii="Calibri" w:cs="Calibri" w:eastAsia="MS ??" w:hAnsi="Calibri"/>
      <w:color w:val="000000"/>
      <w:sz w:val="24"/>
      <w:szCs w:val="24"/>
    </w:rPr>
  </w:style>
  <w:style w:type="paragraph" w:styleId="ECEcorps" w:customStyle="1">
    <w:name w:val="ECEcorps"/>
    <w:qFormat w:val="1"/>
    <w:rsid w:val="00C06213"/>
    <w:pPr>
      <w:spacing w:line="264" w:lineRule="auto"/>
      <w:jc w:val="both"/>
    </w:pPr>
    <w:rPr>
      <w:rFonts w:ascii="Arial" w:cs="Arial" w:hAnsi="Arial"/>
    </w:rPr>
  </w:style>
  <w:style w:type="paragraph" w:styleId="ECEtitre" w:customStyle="1">
    <w:name w:val="ECEtitre"/>
    <w:basedOn w:val="ECEcorps"/>
    <w:next w:val="ECEcorps"/>
    <w:qFormat w:val="1"/>
    <w:rsid w:val="00E2460E"/>
    <w:rPr>
      <w:b w:val="1"/>
      <w:u w:val="single"/>
    </w:rPr>
  </w:style>
  <w:style w:type="paragraph" w:styleId="ECEfiche" w:customStyle="1">
    <w:name w:val="ECEfiche"/>
    <w:basedOn w:val="Titre1"/>
    <w:next w:val="ECEcorps"/>
    <w:qFormat w:val="1"/>
    <w:rsid w:val="00A12834"/>
    <w:pPr>
      <w:numPr>
        <w:numId w:val="0"/>
      </w:numPr>
      <w:shd w:color="auto" w:fill="d8d8d8" w:val="clear"/>
    </w:pPr>
    <w:rPr>
      <w:b w:val="0"/>
    </w:rPr>
  </w:style>
  <w:style w:type="paragraph" w:styleId="ECErponse" w:customStyle="1">
    <w:name w:val="ECEréponse"/>
    <w:basedOn w:val="ECEcorps"/>
    <w:qFormat w:val="1"/>
    <w:rsid w:val="00C22A4C"/>
    <w:pPr>
      <w:spacing w:before="240" w:line="240" w:lineRule="auto"/>
    </w:pPr>
    <w:rPr>
      <w:bCs w:val="1"/>
      <w:szCs w:val="22"/>
    </w:rPr>
  </w:style>
  <w:style w:type="paragraph" w:styleId="ECEpartie" w:customStyle="1">
    <w:name w:val="ECEpartie"/>
    <w:basedOn w:val="ECEcorps"/>
    <w:next w:val="ECEcorps"/>
    <w:qFormat w:val="1"/>
    <w:rsid w:val="00452138"/>
    <w:pPr>
      <w:numPr>
        <w:numId w:val="3"/>
      </w:numPr>
    </w:pPr>
    <w:rPr>
      <w:b w:val="1"/>
    </w:rPr>
  </w:style>
  <w:style w:type="paragraph" w:styleId="ECEcoeff" w:customStyle="1">
    <w:name w:val="ECEcoeff"/>
    <w:basedOn w:val="ECEcorps"/>
    <w:next w:val="ECEcorps"/>
    <w:qFormat w:val="1"/>
    <w:rsid w:val="0003345D"/>
    <w:rPr>
      <w:b w:val="1"/>
      <w:sz w:val="22"/>
      <w:szCs w:val="22"/>
    </w:rPr>
  </w:style>
  <w:style w:type="paragraph" w:styleId="ECEbordure" w:customStyle="1">
    <w:name w:val="ECEbordure"/>
    <w:basedOn w:val="ECEcorps"/>
    <w:qFormat w:val="1"/>
    <w:rsid w:val="00180BB9"/>
    <w:pPr>
      <w:pBdr>
        <w:top w:color="000000" w:space="1" w:sz="12" w:val="single"/>
        <w:left w:color="000000" w:space="4" w:sz="12" w:val="single"/>
        <w:bottom w:color="000000" w:space="1" w:sz="12" w:val="single"/>
        <w:right w:color="000000" w:space="4" w:sz="12" w:val="single"/>
      </w:pBdr>
      <w:ind w:left="284" w:right="281"/>
    </w:pPr>
  </w:style>
  <w:style w:type="paragraph" w:styleId="ECEsommaire" w:customStyle="1">
    <w:name w:val="ECEsommaire"/>
    <w:basedOn w:val="ECEcorps"/>
    <w:qFormat w:val="1"/>
    <w:rsid w:val="0060508C"/>
    <w:pPr>
      <w:jc w:val="center"/>
    </w:pPr>
    <w:rPr>
      <w:b w:val="1"/>
      <w:sz w:val="24"/>
      <w:szCs w:val="24"/>
    </w:rPr>
  </w:style>
  <w:style w:type="paragraph" w:styleId="ECEpuce1" w:customStyle="1">
    <w:name w:val="ECEpuce1"/>
    <w:basedOn w:val="ECEcorps"/>
    <w:qFormat w:val="1"/>
    <w:rsid w:val="0060508C"/>
    <w:pPr>
      <w:numPr>
        <w:numId w:val="2"/>
      </w:numPr>
    </w:pPr>
    <w:rPr>
      <w:rFonts w:eastAsia="Arial Unicode MS"/>
      <w:bCs w:val="1"/>
      <w:iCs w:val="1"/>
    </w:rPr>
  </w:style>
  <w:style w:type="paragraph" w:styleId="ECEpuce2" w:customStyle="1">
    <w:name w:val="ECEpuce2"/>
    <w:basedOn w:val="ECEcorps"/>
    <w:qFormat w:val="1"/>
    <w:rsid w:val="0060508C"/>
    <w:pPr>
      <w:tabs>
        <w:tab w:val="num" w:pos="0"/>
      </w:tabs>
      <w:ind w:left="1491" w:hanging="357"/>
    </w:pPr>
    <w:rPr>
      <w:rFonts w:eastAsia="Arial Unicode MS"/>
      <w:bCs w:val="1"/>
      <w:iCs w:val="1"/>
    </w:rPr>
  </w:style>
  <w:style w:type="paragraph" w:styleId="TM4">
    <w:name w:val="toc 4"/>
    <w:basedOn w:val="Normal"/>
    <w:next w:val="Normal"/>
    <w:autoRedefine w:val="1"/>
    <w:uiPriority w:val="39"/>
    <w:unhideWhenUsed w:val="1"/>
    <w:rsid w:val="00943326"/>
    <w:pPr>
      <w:ind w:left="600"/>
    </w:pPr>
  </w:style>
  <w:style w:type="paragraph" w:styleId="TM5">
    <w:name w:val="toc 5"/>
    <w:basedOn w:val="Normal"/>
    <w:next w:val="Normal"/>
    <w:autoRedefine w:val="1"/>
    <w:uiPriority w:val="39"/>
    <w:unhideWhenUsed w:val="1"/>
    <w:rsid w:val="00943326"/>
    <w:pPr>
      <w:ind w:left="800"/>
    </w:pPr>
  </w:style>
  <w:style w:type="paragraph" w:styleId="TM6">
    <w:name w:val="toc 6"/>
    <w:basedOn w:val="Normal"/>
    <w:next w:val="Normal"/>
    <w:autoRedefine w:val="1"/>
    <w:uiPriority w:val="39"/>
    <w:unhideWhenUsed w:val="1"/>
    <w:rsid w:val="00943326"/>
    <w:pPr>
      <w:ind w:left="1000"/>
    </w:pPr>
  </w:style>
  <w:style w:type="paragraph" w:styleId="TM7">
    <w:name w:val="toc 7"/>
    <w:basedOn w:val="Normal"/>
    <w:next w:val="Normal"/>
    <w:autoRedefine w:val="1"/>
    <w:uiPriority w:val="39"/>
    <w:unhideWhenUsed w:val="1"/>
    <w:rsid w:val="00943326"/>
    <w:pPr>
      <w:ind w:left="1200"/>
    </w:pPr>
  </w:style>
  <w:style w:type="paragraph" w:styleId="TM8">
    <w:name w:val="toc 8"/>
    <w:basedOn w:val="Normal"/>
    <w:next w:val="Normal"/>
    <w:autoRedefine w:val="1"/>
    <w:uiPriority w:val="39"/>
    <w:unhideWhenUsed w:val="1"/>
    <w:rsid w:val="00943326"/>
    <w:pPr>
      <w:ind w:left="1400"/>
    </w:pPr>
  </w:style>
  <w:style w:type="paragraph" w:styleId="TM9">
    <w:name w:val="toc 9"/>
    <w:basedOn w:val="Normal"/>
    <w:next w:val="Normal"/>
    <w:autoRedefine w:val="1"/>
    <w:uiPriority w:val="39"/>
    <w:unhideWhenUsed w:val="1"/>
    <w:rsid w:val="00943326"/>
    <w:pPr>
      <w:ind w:left="1600"/>
    </w:pPr>
  </w:style>
  <w:style w:type="table" w:styleId="Grilledutableau">
    <w:name w:val="Table Grid"/>
    <w:basedOn w:val="TableauNormal"/>
    <w:uiPriority w:val="59"/>
    <w:rsid w:val="003A042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0D45CF"/>
    <w:pPr>
      <w:suppressAutoHyphens w:val="0"/>
      <w:spacing w:after="100" w:afterAutospacing="1" w:before="100" w:beforeAutospacing="1" w:line="240" w:lineRule="auto"/>
      <w:jc w:val="left"/>
    </w:pPr>
    <w:rPr>
      <w:rFonts w:ascii="Times New Roman" w:cs="Times New Roman" w:hAnsi="Times New Roman"/>
      <w:color w:val="auto"/>
      <w:sz w:val="24"/>
      <w:szCs w:val="24"/>
    </w:rPr>
  </w:style>
  <w:style w:type="character" w:styleId="lev">
    <w:name w:val="Strong"/>
    <w:basedOn w:val="Policepardfaut"/>
    <w:uiPriority w:val="22"/>
    <w:qFormat w:val="1"/>
    <w:rsid w:val="000D45CF"/>
    <w:rPr>
      <w:b w:val="1"/>
      <w:bCs w:val="1"/>
    </w:rPr>
  </w:style>
  <w:style w:type="character" w:styleId="Lienhypertexte">
    <w:name w:val="Hyperlink"/>
    <w:basedOn w:val="Policepardfaut"/>
    <w:uiPriority w:val="99"/>
    <w:unhideWhenUsed w:val="1"/>
    <w:rsid w:val="000D45CF"/>
    <w:rPr>
      <w:color w:val="0000ff"/>
      <w:u w:val="single"/>
    </w:rPr>
  </w:style>
  <w:style w:type="character" w:styleId="UnresolvedMention" w:customStyle="1">
    <w:name w:val="Unresolved Mention"/>
    <w:basedOn w:val="Policepardfaut"/>
    <w:uiPriority w:val="99"/>
    <w:semiHidden w:val="1"/>
    <w:unhideWhenUsed w:val="1"/>
    <w:rsid w:val="00CF2CD0"/>
    <w:rPr>
      <w:color w:val="605e5c"/>
      <w:shd w:color="auto" w:fill="e1dfdd" w:val="clear"/>
    </w:rPr>
  </w:style>
  <w:style w:type="paragraph" w:styleId="Rvision">
    <w:name w:val="Revision"/>
    <w:hidden w:val="1"/>
    <w:uiPriority w:val="71"/>
    <w:semiHidden w:val="1"/>
    <w:rsid w:val="002808E5"/>
    <w:pPr>
      <w:suppressAutoHyphens w:val="0"/>
    </w:pPr>
    <w:rPr>
      <w:rFonts w:ascii="Arial" w:cs="Arial" w:hAnsi="Arial"/>
      <w:color w:val="000000"/>
    </w:rPr>
  </w:style>
  <w:style w:type="paragraph" w:styleId="Subtitle">
    <w:name w:val="Subtitle"/>
    <w:basedOn w:val="Normal"/>
    <w:next w:val="Normal"/>
    <w:pPr>
      <w:jc w:val="center"/>
    </w:pPr>
    <w:rPr>
      <w:b w:val="1"/>
      <w:i w:val="1"/>
      <w:sz w:val="28"/>
      <w:szCs w:val="28"/>
    </w:rPr>
  </w:style>
  <w:style w:type="table" w:styleId="Table1">
    <w:basedOn w:val="TableNormal"/>
    <w:tblPr>
      <w:tblStyleRowBandSize w:val="1"/>
      <w:tblStyleColBandSize w:val="1"/>
      <w:tblCellMar>
        <w:top w:w="57.0" w:type="dxa"/>
        <w:left w:w="57.0" w:type="dxa"/>
        <w:bottom w:w="57.0" w:type="dxa"/>
        <w:right w:w="57.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7.0" w:type="dxa"/>
        <w:left w:w="57.0" w:type="dxa"/>
        <w:bottom w:w="57.0" w:type="dxa"/>
        <w:right w:w="57.0" w:type="dxa"/>
      </w:tblCellMar>
    </w:tblPr>
  </w:style>
  <w:style w:type="table" w:styleId="Table5">
    <w:basedOn w:val="TableNormal"/>
    <w:tblPr>
      <w:tblStyleRowBandSize w:val="1"/>
      <w:tblStyleColBandSize w:val="1"/>
      <w:tblCellMar>
        <w:top w:w="57.0" w:type="dxa"/>
        <w:left w:w="57.0" w:type="dxa"/>
        <w:bottom w:w="57.0" w:type="dxa"/>
        <w:right w:w="57.0" w:type="dxa"/>
      </w:tblCellMar>
    </w:tblPr>
  </w:style>
  <w:style w:type="table" w:styleId="Table6">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footer" Target="footer1.xml"/><Relationship Id="rId13" Type="http://schemas.openxmlformats.org/officeDocument/2006/relationships/image" Target="media/image1.png"/><Relationship Id="rId12" Type="http://schemas.openxmlformats.org/officeDocument/2006/relationships/hyperlink" Target="https://eur-lex.europa.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culturesciences.chimie.ens.fr/" TargetMode="External"/><Relationship Id="rId14" Type="http://schemas.openxmlformats.org/officeDocument/2006/relationships/image" Target="media/image2.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IrHNNjJForXnAFUtb2gDnWFeeg==">CgMxLjAyCGguZ2pkZ3hzMgloLjMwajB6bGwyCWguMWZvYjl0ZTIJaC4zem55c2g3Mg5oLmg4dWZkZ20zand4aDIIaC50eWpjd3QyCWguM2R5NnZrbTIJaC4xdDNoNXNmOAByITFrR3BZS2tGd19seTEtT2FfVVFiZkttRlVvQl8zU2UtRw==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2023-11-14T12:59:00Z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