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ECEbordure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BACCALAURÉAT G</w:t>
      </w:r>
      <w:r>
        <w:rPr>
          <w:rFonts w:eastAsia="Arial Unicode MS"/>
          <w:b/>
          <w:sz w:val="24"/>
          <w:szCs w:val="24"/>
        </w:rPr>
        <w:t>É</w:t>
      </w:r>
      <w:r>
        <w:rPr>
          <w:b/>
          <w:sz w:val="24"/>
          <w:szCs w:val="24"/>
        </w:rPr>
        <w:t>N</w:t>
      </w:r>
      <w:r>
        <w:rPr>
          <w:rFonts w:eastAsia="Arial Unicode MS"/>
          <w:b/>
          <w:sz w:val="24"/>
          <w:szCs w:val="24"/>
        </w:rPr>
        <w:t>É</w:t>
      </w:r>
      <w:r>
        <w:rPr>
          <w:b/>
          <w:sz w:val="24"/>
          <w:szCs w:val="24"/>
        </w:rPr>
        <w:t>RAL</w:t>
      </w:r>
    </w:p>
    <w:p>
      <w:pPr>
        <w:pStyle w:val="ECEbordur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ECEbordure"/>
        <w:jc w:val="center"/>
        <w:rPr>
          <w:b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>Épreuve pratique de l’enseignement de spécialité physique-chimie</w:t>
      </w:r>
    </w:p>
    <w:p>
      <w:pPr>
        <w:pStyle w:val="ECEbordure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Évaluation des Compétences Expérimentales</w:t>
      </w:r>
    </w:p>
    <w:p>
      <w:pPr>
        <w:pStyle w:val="ECEbordure"/>
        <w:jc w:val="center"/>
        <w:rPr/>
      </w:pPr>
      <w:r>
        <w:rPr/>
      </w:r>
    </w:p>
    <w:p>
      <w:pPr>
        <w:pStyle w:val="ECEbordure"/>
        <w:jc w:val="center"/>
        <w:rPr/>
      </w:pPr>
      <w:r>
        <w:rPr/>
        <w:t>Cette situation d’évaluation fait partie de la banque nationale.</w:t>
      </w:r>
    </w:p>
    <w:p>
      <w:pPr>
        <w:pStyle w:val="ECEbordure"/>
        <w:jc w:val="center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fiche"/>
        <w:pBdr>
          <w:top w:val="single" w:sz="12" w:space="1" w:color="000000"/>
          <w:left w:val="single" w:sz="12" w:space="1" w:color="000000"/>
          <w:bottom w:val="single" w:sz="12" w:space="1" w:color="000000"/>
          <w:right w:val="single" w:sz="12" w:space="0" w:color="000000"/>
        </w:pBdr>
        <w:ind w:hanging="0" w:left="0"/>
        <w:rPr>
          <w:b/>
        </w:rPr>
      </w:pPr>
      <w:bookmarkStart w:id="1" w:name="_Toc469923078"/>
      <w:bookmarkStart w:id="2" w:name="_Toc266361605"/>
      <w:bookmarkStart w:id="3" w:name="_Toc379291742"/>
      <w:bookmarkStart w:id="4" w:name="_Toc500182690"/>
      <w:bookmarkStart w:id="5" w:name="_Toc482638813"/>
      <w:r>
        <w:rPr/>
        <w:t>ÉNONCÉ DESTINÉ AU CANDIDAT</w:t>
      </w:r>
      <w:bookmarkEnd w:id="4"/>
      <w:bookmarkEnd w:id="5"/>
    </w:p>
    <w:p>
      <w:pPr>
        <w:pStyle w:val="ECEcorps"/>
        <w:rPr/>
      </w:pPr>
      <w:r>
        <w:rPr/>
      </w:r>
    </w:p>
    <w:tbl>
      <w:tblPr>
        <w:tblW w:w="9866" w:type="dxa"/>
        <w:jc w:val="center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4933"/>
        <w:gridCol w:w="4932"/>
      </w:tblGrid>
      <w:tr>
        <w:trPr/>
        <w:tc>
          <w:tcPr>
            <w:tcW w:w="49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ECEcorps"/>
              <w:rPr/>
            </w:pPr>
            <w:r>
              <w:rPr/>
              <w:t>NOM :</w:t>
            </w:r>
          </w:p>
          <w:p>
            <w:pPr>
              <w:pStyle w:val="ECEcorps"/>
              <w:rPr/>
            </w:pPr>
            <w:r>
              <w:rPr/>
            </w:r>
          </w:p>
        </w:tc>
        <w:tc>
          <w:tcPr>
            <w:tcW w:w="49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ECEcorps"/>
              <w:rPr/>
            </w:pPr>
            <w:r>
              <w:rPr/>
              <w:t>Prénom :</w:t>
            </w:r>
          </w:p>
        </w:tc>
      </w:tr>
      <w:tr>
        <w:trPr/>
        <w:tc>
          <w:tcPr>
            <w:tcW w:w="493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ECEcorps"/>
              <w:rPr/>
            </w:pPr>
            <w:r>
              <w:rPr/>
              <w:t>Centre d’examen :</w:t>
            </w:r>
          </w:p>
          <w:p>
            <w:pPr>
              <w:pStyle w:val="ECEcorps"/>
              <w:rPr/>
            </w:pPr>
            <w:r>
              <w:rPr/>
            </w:r>
          </w:p>
        </w:tc>
        <w:tc>
          <w:tcPr>
            <w:tcW w:w="493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ECEcorps"/>
              <w:rPr/>
            </w:pPr>
            <w:r>
              <w:rPr/>
              <w:t>n° d’inscription :</w:t>
            </w:r>
          </w:p>
        </w:tc>
      </w:tr>
    </w:tbl>
    <w:p>
      <w:pPr>
        <w:pStyle w:val="ECEcorps"/>
        <w:rPr/>
      </w:pPr>
      <w:r>
        <w:rPr/>
      </w:r>
    </w:p>
    <w:p>
      <w:pPr>
        <w:pStyle w:val="ECEbordure"/>
        <w:rPr/>
      </w:pPr>
      <w:r>
        <w:rPr/>
        <w:t xml:space="preserve">Cette situation d’évaluation comporte </w:t>
      </w:r>
      <w:r>
        <w:rPr>
          <w:b/>
        </w:rPr>
        <w:t xml:space="preserve">quatre </w:t>
      </w:r>
      <w:r>
        <w:rPr/>
        <w:t>pages sur lesquelles le candidat doit consigner ses réponses.</w:t>
      </w:r>
    </w:p>
    <w:p>
      <w:pPr>
        <w:pStyle w:val="ECEbordure"/>
        <w:rPr/>
      </w:pPr>
      <w:r>
        <w:rPr/>
        <w:t>Le candidat doit restituer ce document avant de sortir de la salle d'examen.</w:t>
      </w:r>
    </w:p>
    <w:p>
      <w:pPr>
        <w:pStyle w:val="ECEbordure"/>
        <w:rPr/>
      </w:pPr>
      <w:r>
        <w:rPr/>
      </w:r>
    </w:p>
    <w:p>
      <w:pPr>
        <w:pStyle w:val="ECEbordure"/>
        <w:rPr/>
      </w:pPr>
      <w:r>
        <w:rPr/>
        <w:t>Le candidat doit agir en autonomie et faire preuve d’initiative tout au long de l’épreuve.</w:t>
      </w:r>
    </w:p>
    <w:p>
      <w:pPr>
        <w:pStyle w:val="ECEbordure"/>
        <w:rPr/>
      </w:pPr>
      <w:r>
        <w:rPr/>
        <w:t>En cas de difficulté, le candidat peut solliciter l’examinateur afin de lui permettre de continuer la tâche.</w:t>
      </w:r>
    </w:p>
    <w:p>
      <w:pPr>
        <w:pStyle w:val="ECEbordure"/>
        <w:rPr/>
      </w:pPr>
      <w:r>
        <w:rPr/>
        <w:t>L’examinateur peut intervenir à tout moment, s’il le juge utile.</w:t>
      </w:r>
    </w:p>
    <w:p>
      <w:pPr>
        <w:pStyle w:val="ECEbordure"/>
        <w:rPr/>
      </w:pPr>
      <w:r>
        <w:rPr/>
        <w:t xml:space="preserve">L’usage de calculatrice avec mode examen actif est autorisé. L’usage de calculatrice sans mémoire « type collège » est autorisé. </w:t>
      </w:r>
    </w:p>
    <w:p>
      <w:pPr>
        <w:pStyle w:val="ECEcorps"/>
        <w:rPr>
          <w:u w:val="single"/>
        </w:rPr>
      </w:pPr>
      <w:r>
        <w:rPr>
          <w:u w:val="single"/>
        </w:rPr>
      </w:r>
    </w:p>
    <w:p>
      <w:pPr>
        <w:pStyle w:val="ECEcorps"/>
        <w:rPr>
          <w:u w:val="single"/>
        </w:rPr>
      </w:pPr>
      <w:r>
        <w:rPr>
          <w:u w:val="single"/>
        </w:rPr>
      </w:r>
    </w:p>
    <w:p>
      <w:pPr>
        <w:pStyle w:val="ECEcorps"/>
        <w:rPr>
          <w:u w:val="single"/>
        </w:rPr>
      </w:pPr>
      <w:r>
        <w:rPr>
          <w:u w:val="single"/>
        </w:rPr>
      </w:r>
    </w:p>
    <w:p>
      <w:pPr>
        <w:pStyle w:val="ECEcorps"/>
        <w:rPr>
          <w:u w:val="single"/>
        </w:rPr>
      </w:pPr>
      <w:r>
        <w:rPr>
          <w:u w:val="single"/>
        </w:rPr>
      </w:r>
    </w:p>
    <w:p>
      <w:pPr>
        <w:pStyle w:val="ECEcorps"/>
        <w:rPr>
          <w:u w:val="single"/>
        </w:rPr>
      </w:pPr>
      <w:r>
        <w:rPr>
          <w:u w:val="single"/>
        </w:rPr>
      </w:r>
    </w:p>
    <w:p>
      <w:pPr>
        <w:pStyle w:val="ECEcorps"/>
        <w:rPr>
          <w:u w:val="single"/>
        </w:rPr>
      </w:pPr>
      <w:r>
        <w:rPr>
          <w:u w:val="single"/>
        </w:rPr>
      </w:r>
    </w:p>
    <w:p>
      <w:pPr>
        <w:pStyle w:val="ECEtitre"/>
        <w:rPr>
          <w:sz w:val="24"/>
          <w:szCs w:val="24"/>
        </w:rPr>
      </w:pPr>
      <w:r>
        <w:rPr>
          <w:sz w:val="24"/>
          <w:szCs w:val="24"/>
        </w:rPr>
        <w:t>CONTEXTE DE LA SITUATION D’ÉVALUATION</w:t>
      </w:r>
    </w:p>
    <w:p>
      <w:pPr>
        <w:pStyle w:val="ECEcorps"/>
        <w:rPr>
          <w:u w:val="single"/>
        </w:rPr>
      </w:pPr>
      <w:r>
        <w:rPr>
          <w:u w:val="single"/>
        </w:rPr>
      </w:r>
    </w:p>
    <w:p>
      <w:pPr>
        <w:pStyle w:val="ECEcorps"/>
        <w:rPr/>
      </w:pPr>
      <w:r>
        <w:rPr/>
        <w:t xml:space="preserve">Une brosse à dents doit être choisie en fonction des besoins spécifiques de l’utilisateur, en particulier chez les enfants. Il existe plusieurs catégories de brosses à dents – extra-souples, souples, médium ou dures – chacune se distinguant par des caractéristiques mécaniques précises, notamment l’épaisseur et la rigidité des brins. </w:t>
      </w:r>
    </w:p>
    <w:p>
      <w:pPr>
        <w:pStyle w:val="ECEcorps"/>
        <w:rPr>
          <w:highlight w:val="yellow"/>
        </w:rPr>
      </w:pPr>
      <w:r>
        <w:rPr>
          <w:highlight w:val="yellow"/>
        </w:rPr>
      </w:r>
    </w:p>
    <w:p>
      <w:pPr>
        <w:pStyle w:val="ECEcorps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1717675</wp:posOffset>
            </wp:positionH>
            <wp:positionV relativeFrom="paragraph">
              <wp:posOffset>52070</wp:posOffset>
            </wp:positionV>
            <wp:extent cx="3101975" cy="1282065"/>
            <wp:effectExtent l="0" t="0" r="0" b="0"/>
            <wp:wrapTight wrapText="bothSides">
              <wp:wrapPolygon edited="0">
                <wp:start x="-2" y="0"/>
                <wp:lineTo x="-2" y="21396"/>
                <wp:lineTo x="21486" y="21396"/>
                <wp:lineTo x="21486" y="0"/>
                <wp:lineTo x="-2" y="0"/>
              </wp:wrapPolygon>
            </wp:wrapTight>
            <wp:docPr id="1" name="Image 1" descr="Une image contenant brosse, outil, brosse à dents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brosse, outil, brosse à dents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corps"/>
        <w:rPr>
          <w:b/>
          <w:i/>
          <w:i/>
          <w:sz w:val="24"/>
        </w:rPr>
      </w:pPr>
      <w:r>
        <w:rPr>
          <w:b/>
          <w:bCs/>
          <w:i/>
          <w:sz w:val="24"/>
        </w:rPr>
        <w:t>Le but de cette épreuve</w:t>
      </w:r>
      <w:r>
        <w:rPr>
          <w:b/>
          <w:i/>
          <w:sz w:val="24"/>
        </w:rPr>
        <w:t> est de déterminer </w:t>
      </w:r>
      <w:r>
        <w:rPr>
          <w:b/>
          <w:bCs/>
          <w:i/>
          <w:sz w:val="24"/>
        </w:rPr>
        <w:t>expérimentalement</w:t>
      </w:r>
      <w:r>
        <w:rPr>
          <w:b/>
          <w:i/>
          <w:sz w:val="24"/>
        </w:rPr>
        <w:t>, à l’aide du </w:t>
      </w:r>
      <w:r>
        <w:rPr>
          <w:b/>
          <w:bCs/>
          <w:i/>
          <w:sz w:val="24"/>
        </w:rPr>
        <w:t>phénomène de diffraction</w:t>
      </w:r>
      <w:r>
        <w:rPr>
          <w:b/>
          <w:i/>
          <w:sz w:val="24"/>
        </w:rPr>
        <w:t>, si une brosse à dents donnée possède des </w:t>
      </w:r>
      <w:r>
        <w:rPr>
          <w:b/>
          <w:bCs/>
          <w:i/>
          <w:sz w:val="24"/>
        </w:rPr>
        <w:t>brins dont le diamètre est compatible avec un usage quotidien chez l’enfant</w:t>
      </w:r>
      <w:r>
        <w:rPr>
          <w:b/>
          <w:i/>
          <w:sz w:val="24"/>
        </w:rPr>
        <w:t>.</w:t>
      </w:r>
    </w:p>
    <w:p>
      <w:pPr>
        <w:pStyle w:val="ECEcorps"/>
        <w:rPr/>
      </w:pPr>
      <w:r>
        <w:rPr/>
      </w:r>
    </w:p>
    <w:p>
      <w:pPr>
        <w:pStyle w:val="ECEcorps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ECEcorps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ECEcorps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ECEcorps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INFORMATIONS MISES À DISPOSITION DU CANDIDAT</w:t>
      </w:r>
    </w:p>
    <w:p>
      <w:pPr>
        <w:pStyle w:val="ECEcorps"/>
        <w:rPr/>
      </w:pPr>
      <w:r>
        <w:rPr/>
      </w:r>
    </w:p>
    <w:p>
      <w:pPr>
        <w:pStyle w:val="ECEtitre"/>
        <w:rPr>
          <w:sz w:val="24"/>
          <w:szCs w:val="24"/>
          <w:u w:val="none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4462780</wp:posOffset>
            </wp:positionH>
            <wp:positionV relativeFrom="paragraph">
              <wp:posOffset>170815</wp:posOffset>
            </wp:positionV>
            <wp:extent cx="1940560" cy="1424940"/>
            <wp:effectExtent l="0" t="0" r="0" b="0"/>
            <wp:wrapTight wrapText="bothSides">
              <wp:wrapPolygon edited="0">
                <wp:start x="-3" y="0"/>
                <wp:lineTo x="-3" y="21366"/>
                <wp:lineTo x="21482" y="21366"/>
                <wp:lineTo x="21482" y="0"/>
                <wp:lineTo x="-3" y="0"/>
              </wp:wrapPolygon>
            </wp:wrapTight>
            <wp:docPr id="2" name="Image3" descr="Une image contenant dessin, croquis, conception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Une image contenant dessin, croquis, conception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4787" r="3346" b="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Choix d’une brosse à dents</w:t>
      </w:r>
      <w:r>
        <w:rPr>
          <w:sz w:val="24"/>
          <w:szCs w:val="24"/>
          <w:u w:val="none"/>
        </w:rPr>
        <w:t> :</w:t>
      </w:r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  <w:t>Le choix d'une brosse à dents dépend principalement de la classe de souplesse de ses brins, qui conditionne son efficacité et son confort.</w:t>
      </w:r>
    </w:p>
    <w:p>
      <w:pPr>
        <w:pStyle w:val="ECEcorps"/>
        <w:rPr/>
      </w:pPr>
      <w:r>
        <w:rPr/>
        <w:t>On distingue généralement quatre classes : extra-souple, souple, medium et dure.</w:t>
      </w:r>
    </w:p>
    <w:p>
      <w:pPr>
        <w:pStyle w:val="ECEcorps"/>
        <w:ind w:left="720"/>
        <w:rPr/>
      </w:pPr>
      <w:r>
        <w:rPr/>
      </w:r>
    </w:p>
    <w:p>
      <w:pPr>
        <w:pStyle w:val="ECEcorps"/>
        <w:rPr/>
      </w:pPr>
      <w:r>
        <w:rPr>
          <w:bCs/>
        </w:rPr>
        <w:t>L</w:t>
      </w:r>
      <w:r>
        <w:rPr>
          <w:b/>
          <w:bCs/>
        </w:rPr>
        <w:t>es brosses extra-souples </w:t>
      </w:r>
      <w:r>
        <w:rPr/>
        <w:t>sont adaptées à un usage quotidien chez  l’enfant.</w:t>
      </w:r>
    </w:p>
    <w:p>
      <w:pPr>
        <w:pStyle w:val="ECEcorps"/>
        <w:rPr/>
      </w:pPr>
      <w:r>
        <w:rPr/>
      </w:r>
    </w:p>
    <w:p>
      <w:pPr>
        <w:pStyle w:val="ECEtitre"/>
        <w:rPr>
          <w:sz w:val="24"/>
          <w:szCs w:val="24"/>
        </w:rPr>
      </w:pPr>
      <w:r>
        <w:rPr>
          <w:sz w:val="24"/>
          <w:szCs w:val="24"/>
        </w:rPr>
        <w:t>Incertitude-type et cohérence d’une mesure</w:t>
      </w:r>
      <w:r>
        <w:rPr>
          <w:sz w:val="24"/>
          <w:szCs w:val="24"/>
          <w:u w:val="none"/>
        </w:rPr>
        <w:t> :</w:t>
      </w:r>
    </w:p>
    <w:p>
      <w:pPr>
        <w:pStyle w:val="ECEcorps"/>
        <w:rPr/>
      </w:pPr>
      <w:r>
        <w:rPr/>
      </w:r>
    </w:p>
    <w:p>
      <w:pPr>
        <w:pStyle w:val="ECEcorps"/>
        <w:numPr>
          <w:ilvl w:val="0"/>
          <w:numId w:val="4"/>
        </w:numPr>
        <w:rPr/>
      </w:pPr>
      <w:r>
        <w:rPr/>
        <w:t xml:space="preserve">L’incertitude-type </w:t>
      </w:r>
      <w:r>
        <w:rPr>
          <w:i/>
          <w:iCs/>
        </w:rPr>
        <w:t>u</w:t>
      </w:r>
      <w:r>
        <w:rPr>
          <w:iCs/>
        </w:rPr>
        <w:t>(</w:t>
      </w:r>
      <w:r>
        <w:rPr>
          <w:i/>
          <w:iCs/>
        </w:rPr>
        <w:t>a</w:t>
      </w:r>
      <w:r>
        <w:rPr>
          <w:vertAlign w:val="subscript"/>
        </w:rPr>
        <w:t>brin</w:t>
      </w:r>
      <w:r>
        <w:rPr>
          <w:iCs/>
        </w:rPr>
        <w:t xml:space="preserve">) </w:t>
      </w:r>
      <w:r>
        <w:rPr/>
        <w:t>du diamètre du brin de la brosse à dents peut être définie par :</w:t>
      </w:r>
    </w:p>
    <w:p>
      <w:pPr>
        <w:pStyle w:val="ECEcorps"/>
        <w:jc w:val="center"/>
        <w:rPr>
          <w:rFonts w:ascii="Arial" w:hAnsi="Arial" w:cs="Arial" w:asciiTheme="minorBidi" w:cstheme="minorBidi" w:hAnsiTheme="minorBidi"/>
          <w:i/>
          <w:i/>
          <w:lang w:val="en-US"/>
        </w:rPr>
      </w:pPr>
      <w:r>
        <w:rPr/>
      </w:r>
      <m:oMathPara xmlns:m="http://schemas.openxmlformats.org/officeDocument/2006/math">
        <m:oMathParaPr>
          <m:jc m:val="center"/>
        </m:oMathParaPr>
        <m:oMath>
          <m:r>
            <m:rPr>
              <m:lit/>
              <m:nor/>
            </m:rPr>
            <w:rPr>
              <w:rFonts w:ascii="Cambria Math" w:hAnsi="Cambria Math"/>
            </w:rPr>
            <m:t xml:space="preserve">u</m:t>
          </m:r>
          <m:r>
            <m:rPr>
              <m:lit/>
              <m:nor/>
            </m:rPr>
            <w:rPr>
              <w:rFonts w:ascii="Cambria Math" w:hAnsi="Cambria Math"/>
            </w:rPr>
            <m:t xml:space="preserve">(</m:t>
          </m:r>
          <m:sSub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a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brin</m:t>
              </m:r>
            </m:sub>
          </m:sSub>
          <m:r>
            <m:rPr>
              <m:lit/>
              <m:nor/>
            </m:rPr>
            <w:rPr>
              <w:rFonts w:ascii="Cambria Math" w:hAnsi="Cambria Math"/>
            </w:rPr>
            <m:t xml:space="preserve">)</m:t>
          </m:r>
          <m:r>
            <m:rPr>
              <m:lit/>
              <m:nor/>
            </m:rPr>
            <w:rPr>
              <w:rFonts w:ascii="Cambria Math" w:hAnsi="Cambria Math"/>
            </w:rPr>
            <m:t xml:space="preserve"> </m:t>
          </m:r>
          <m:r>
            <m:rPr>
              <m:lit/>
              <m:nor/>
            </m:rPr>
            <w:rPr>
              <w:rFonts w:ascii="Cambria Math" w:hAnsi="Cambria Math"/>
            </w:rPr>
            <m:t xml:space="preserve">=</m:t>
          </m:r>
          <m:sSub>
            <m:e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a</m:t>
              </m:r>
            </m:e>
            <m:sub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brin</m:t>
              </m:r>
            </m:sub>
          </m:sSub>
          <m:r>
            <m:rPr>
              <m:lit/>
              <m:nor/>
            </m:rPr>
            <w:rPr>
              <w:rFonts w:ascii="Cambria Math" w:hAnsi="Cambria Math"/>
            </w:rPr>
            <m:t xml:space="preserve">×</m:t>
          </m:r>
          <m:rad>
            <m:radPr>
              <m:degHide m:val="1"/>
            </m:radPr>
            <m:deg/>
            <m:e>
              <m:sSup>
                <m:e>
                  <m:d>
                    <m:dPr>
                      <m:begChr m:val="("/>
                      <m:endChr m:val=")"/>
                    </m:dPr>
                    <m:e>
                      <m:f>
                        <m:num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u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(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k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)</m:t>
                          </m:r>
                        </m:num>
                        <m:den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k</m:t>
                          </m:r>
                        </m:den>
                      </m:f>
                    </m:e>
                  </m:d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+</m:t>
              </m:r>
              <m:sSup>
                <m:e>
                  <m:d>
                    <m:dPr>
                      <m:begChr m:val="("/>
                      <m:endChr m:val=")"/>
                    </m:dPr>
                    <m:e>
                      <m:f>
                        <m:num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u</m:t>
                          </m:r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(</m:t>
                          </m:r>
                          <m:sSub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L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brin</m:t>
                              </m:r>
                            </m:sub>
                          </m:sSub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</w:rPr>
                            <m:t xml:space="preserve">)</m:t>
                          </m:r>
                        </m:num>
                        <m:den>
                          <m:sSub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L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brin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</m:e>
          </m:rad>
        </m:oMath>
      </m:oMathPara>
    </w:p>
    <w:p>
      <w:pPr>
        <w:pStyle w:val="ECEcorps"/>
        <w:rPr>
          <w:rFonts w:ascii="Arial" w:hAnsi="Arial" w:cs="Arial" w:asciiTheme="minorBidi" w:cstheme="minorBidi" w:hAnsiTheme="minorBidi"/>
        </w:rPr>
      </w:pPr>
      <w:r>
        <w:rPr>
          <w:rFonts w:cs="Arial" w:cstheme="minorBidi"/>
        </w:rPr>
        <w:t xml:space="preserve">Avec : </w:t>
      </w:r>
    </w:p>
    <w:p>
      <w:pPr>
        <w:pStyle w:val="ECEcorps"/>
        <w:numPr>
          <w:ilvl w:val="0"/>
          <w:numId w:val="7"/>
        </w:numPr>
        <w:rPr>
          <w:rFonts w:ascii="Arial" w:hAnsi="Arial" w:cs="Arial" w:asciiTheme="minorBidi" w:cstheme="minorBidi" w:hAnsiTheme="minorBidi"/>
        </w:rPr>
      </w:pPr>
      <w:r>
        <w:rPr>
          <w:rFonts w:cs="Arial" w:cstheme="minorBidi"/>
          <w:i/>
          <w:iCs/>
        </w:rPr>
        <w:t xml:space="preserve">k : </w:t>
      </w:r>
      <w:r>
        <w:rPr>
          <w:rFonts w:cs="Arial" w:cstheme="minorBidi"/>
        </w:rPr>
        <w:t>le coefficient directeur de la droite d’étalonnage ;</w:t>
      </w:r>
    </w:p>
    <w:p>
      <w:pPr>
        <w:pStyle w:val="ECEcorps"/>
        <w:numPr>
          <w:ilvl w:val="0"/>
          <w:numId w:val="7"/>
        </w:numPr>
        <w:rPr>
          <w:rFonts w:ascii="Arial" w:hAnsi="Arial" w:cs="Arial" w:asciiTheme="minorBidi" w:cstheme="minorBidi" w:hAnsiTheme="minorBidi"/>
        </w:rPr>
      </w:pPr>
      <w:r>
        <w:rPr>
          <w:rFonts w:cs="Arial" w:cstheme="minorBidi"/>
          <w:i/>
          <w:iCs/>
        </w:rPr>
        <w:t>u</w:t>
      </w:r>
      <w:r>
        <w:rPr>
          <w:rFonts w:cs="Arial" w:cstheme="minorBidi"/>
          <w:iCs/>
        </w:rPr>
        <w:t>(</w:t>
      </w:r>
      <w:r>
        <w:rPr>
          <w:rFonts w:cs="Arial" w:cstheme="minorBidi"/>
          <w:i/>
          <w:iCs/>
        </w:rPr>
        <w:t>k</w:t>
      </w:r>
      <w:r>
        <w:rPr>
          <w:rFonts w:cs="Arial" w:cstheme="minorBidi"/>
          <w:iCs/>
        </w:rPr>
        <w:t>) :</w:t>
      </w:r>
      <w:r>
        <w:rPr>
          <w:rFonts w:cs="Arial" w:cstheme="minorBidi"/>
        </w:rPr>
        <w:t xml:space="preserve"> l’incertitude-type sur </w:t>
      </w:r>
      <w:r>
        <w:rPr>
          <w:rFonts w:cs="Arial" w:cstheme="minorBidi"/>
          <w:i/>
          <w:iCs/>
        </w:rPr>
        <w:t>k </w:t>
      </w:r>
      <w:r>
        <w:rPr>
          <w:rFonts w:cs="Arial" w:cstheme="minorBidi"/>
        </w:rPr>
        <w:t>;</w:t>
      </w:r>
    </w:p>
    <w:p>
      <w:pPr>
        <w:pStyle w:val="ECEcorps"/>
        <w:numPr>
          <w:ilvl w:val="0"/>
          <w:numId w:val="7"/>
        </w:numPr>
        <w:rPr>
          <w:rFonts w:ascii="Arial" w:hAnsi="Arial" w:cs="Arial" w:asciiTheme="minorBidi" w:cstheme="minorBidi" w:hAnsiTheme="minorBidi"/>
        </w:rPr>
      </w:pPr>
      <w:r>
        <w:rPr>
          <w:rFonts w:cs="Arial" w:cstheme="minorBidi"/>
          <w:i/>
          <w:iCs/>
        </w:rPr>
        <w:t>L</w:t>
      </w:r>
      <w:r>
        <w:rPr>
          <w:rFonts w:cs="Arial" w:cstheme="minorBidi"/>
          <w:vertAlign w:val="subscript"/>
        </w:rPr>
        <w:t>brin</w:t>
      </w:r>
      <w:r>
        <w:rPr>
          <w:rFonts w:cs="Arial" w:cstheme="minorBidi"/>
        </w:rPr>
        <w:t> : la largeur de la tache centrale de diffraction pour le brin de brosse à dents mise à disposition ;</w:t>
      </w:r>
    </w:p>
    <w:p>
      <w:pPr>
        <w:pStyle w:val="ECEcorps"/>
        <w:numPr>
          <w:ilvl w:val="0"/>
          <w:numId w:val="7"/>
        </w:numPr>
        <w:rPr>
          <w:rFonts w:ascii="Arial" w:hAnsi="Arial" w:cs="Arial" w:asciiTheme="minorBidi" w:cstheme="minorBidi" w:hAnsiTheme="minorBidi"/>
        </w:rPr>
      </w:pPr>
      <w:r>
        <w:rPr>
          <w:rFonts w:cs="Arial" w:cstheme="minorBidi"/>
          <w:i/>
          <w:iCs/>
        </w:rPr>
        <w:t>u</w:t>
      </w:r>
      <w:r>
        <w:rPr>
          <w:rFonts w:cs="Arial" w:cstheme="minorBidi"/>
          <w:iCs/>
        </w:rPr>
        <w:t>(</w:t>
      </w:r>
      <w:r>
        <w:rPr>
          <w:rFonts w:cs="Arial" w:cstheme="minorBidi"/>
          <w:i/>
          <w:iCs/>
        </w:rPr>
        <w:t>L</w:t>
      </w:r>
      <w:r>
        <w:rPr>
          <w:rFonts w:cs="Arial" w:cstheme="minorBidi"/>
          <w:vertAlign w:val="subscript"/>
        </w:rPr>
        <w:t>brin</w:t>
      </w:r>
      <w:r>
        <w:rPr>
          <w:rFonts w:cs="Arial" w:cstheme="minorBidi"/>
          <w:iCs/>
        </w:rPr>
        <w:t xml:space="preserve">) : </w:t>
      </w:r>
      <w:r>
        <w:rPr>
          <w:rFonts w:cs="Arial" w:cstheme="minorBidi"/>
        </w:rPr>
        <w:t xml:space="preserve">l’incertitude type qui affecte la valeur de la largeur </w:t>
      </w:r>
      <w:r>
        <w:rPr>
          <w:rFonts w:cs="Arial" w:cstheme="minorBidi"/>
          <w:i/>
          <w:iCs/>
        </w:rPr>
        <w:t>L</w:t>
      </w:r>
      <w:r>
        <w:rPr>
          <w:rFonts w:cs="Arial" w:cstheme="minorBidi"/>
          <w:vertAlign w:val="subscript"/>
        </w:rPr>
        <w:t>brin</w:t>
      </w:r>
      <w:r>
        <w:rPr>
          <w:rFonts w:cs="Arial" w:cstheme="minorBidi"/>
        </w:rPr>
        <w:t>.</w:t>
      </w:r>
    </w:p>
    <w:p>
      <w:pPr>
        <w:pStyle w:val="ECEcorps"/>
        <w:ind w:left="720"/>
        <w:rPr>
          <w:rFonts w:ascii="Arial" w:hAnsi="Arial" w:cs="Arial" w:asciiTheme="minorBidi" w:cstheme="minorBidi" w:hAnsiTheme="minorBidi"/>
        </w:rPr>
      </w:pPr>
      <w:r>
        <w:rPr>
          <w:rFonts w:cs="Arial" w:cstheme="minorBidi"/>
        </w:rPr>
      </w:r>
    </w:p>
    <w:p>
      <w:pPr>
        <w:pStyle w:val="ECEcorps"/>
        <w:numPr>
          <w:ilvl w:val="0"/>
          <w:numId w:val="4"/>
        </w:numPr>
        <w:rPr/>
      </w:pPr>
      <w:r>
        <w:rPr/>
        <w:t xml:space="preserve">Dans cette situation, le résultat d’une mesure x est considéré en accord avec une valeur de référence si la valeur du quotient </w:t>
      </w:r>
      <w:sdt>
        <w:sdtPr>
          <w:placeholder>
            <w:docPart w:val="DefaultPlaceholder_2098659788"/>
          </w:placeholder>
          <w:id w:val="1501243984"/>
        </w:sdtPr>
        <w:sdtContent>
          <w:r>
            <w:rPr/>
          </w:r>
          <w:r>
            <w:rPr/>
          </w:r>
          <m:oMath xmlns:m="http://schemas.openxmlformats.org/officeDocument/2006/math">
            <m:f>
              <m:num>
                <m:d>
                  <m:dPr>
                    <m:begChr m:val="|"/>
                    <m:endChr m:val="|"/>
                  </m:dPr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x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–</m:t>
                    </m:r>
                    <m:sSub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 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x</m:t>
                        </m:r>
                      </m:e>
                      <m:sub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réf</m:t>
                        </m:r>
                      </m:sub>
                    </m:sSub>
                  </m:e>
                </m:d>
              </m:num>
              <m:den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u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(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x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)</m:t>
                </m:r>
              </m:den>
            </m:f>
          </m:oMath>
          <w:r>
            <w:rPr/>
          </w:r>
        </w:sdtContent>
      </w:sdt>
      <w:r>
        <w:rPr/>
        <w:t xml:space="preserve"> </w:t>
      </w:r>
      <w:r>
        <w:rPr/>
        <w:t xml:space="preserve">est inférieure ou égale à 2, avec </w:t>
      </w:r>
      <w:r>
        <w:rPr>
          <w:i/>
          <w:iCs/>
        </w:rPr>
        <w:t>u(x)</w:t>
      </w:r>
      <w:r>
        <w:rPr/>
        <w:t xml:space="preserve"> l’incertitude-type associée.</w:t>
      </w:r>
    </w:p>
    <w:p>
      <w:pPr>
        <w:pStyle w:val="ECEtitr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ECEtitr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ECEtitre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ECEtitre"/>
        <w:rPr>
          <w:sz w:val="24"/>
          <w:szCs w:val="24"/>
        </w:rPr>
      </w:pPr>
      <w:r>
        <w:rPr>
          <w:sz w:val="24"/>
          <w:szCs w:val="24"/>
        </w:rPr>
        <w:t xml:space="preserve">TRAVAIL À EFFECTUER </w:t>
      </w:r>
    </w:p>
    <w:p>
      <w:pPr>
        <w:pStyle w:val="Normal"/>
        <w:rPr>
          <w:b/>
          <w:bCs/>
          <w:color w:val="auto"/>
          <w:u w:val="single"/>
        </w:rPr>
      </w:pPr>
      <w:r>
        <w:rPr>
          <w:b/>
          <w:bCs/>
          <w:color w:val="auto"/>
          <w:u w:val="single"/>
        </w:rPr>
      </w:r>
    </w:p>
    <w:p>
      <w:pPr>
        <w:pStyle w:val="ECEpartie"/>
        <w:numPr>
          <w:ilvl w:val="0"/>
          <w:numId w:val="3"/>
        </w:numPr>
        <w:rPr/>
      </w:pPr>
      <w:bookmarkStart w:id="6" w:name="_Toc25675753"/>
      <w:r>
        <w:rPr>
          <w:bCs/>
        </w:rPr>
        <w:t>D</w:t>
      </w:r>
      <w:r>
        <w:rPr/>
        <w:t>iffraction d’un faisceau laser par un fil</w:t>
      </w:r>
      <w:r>
        <w:rPr>
          <w:b w:val="false"/>
          <w:bCs/>
        </w:rPr>
        <w:t xml:space="preserve"> (</w:t>
      </w:r>
      <w:r>
        <w:rPr>
          <w:b w:val="false"/>
        </w:rPr>
        <w:t>20 minutes conseillées</w:t>
      </w:r>
      <w:r>
        <w:rPr>
          <w:b w:val="false"/>
          <w:bCs/>
        </w:rPr>
        <w:t>)</w:t>
      </w:r>
      <w:bookmarkEnd w:id="6"/>
    </w:p>
    <w:p>
      <w:pPr>
        <w:pStyle w:val="ECEpartie"/>
        <w:numPr>
          <w:ilvl w:val="0"/>
          <w:numId w:val="0"/>
        </w:numPr>
        <w:ind w:hanging="0" w:left="0"/>
        <w:rPr>
          <w:b w:val="false"/>
        </w:rPr>
      </w:pPr>
      <w:r>
        <w:rPr>
          <w:b w:val="false"/>
        </w:rPr>
      </w:r>
    </w:p>
    <w:p>
      <w:pPr>
        <w:pStyle w:val="ECEpartie"/>
        <w:numPr>
          <w:ilvl w:val="0"/>
          <w:numId w:val="0"/>
        </w:numPr>
        <w:ind w:hanging="0" w:left="0"/>
        <w:rPr>
          <w:b w:val="false"/>
        </w:rPr>
      </w:pPr>
      <w:r>
        <w:rPr>
          <w:b w:val="false"/>
        </w:rPr>
        <w:t>À l’aide du matériel mis à disposition, proposer un protocole permettant de vérifier expérimentalement que la largeur </w:t>
      </w:r>
      <w:r>
        <w:rPr>
          <w:b w:val="false"/>
          <w:i/>
          <w:iCs/>
        </w:rPr>
        <w:t>L </w:t>
      </w:r>
      <w:r>
        <w:rPr>
          <w:b w:val="false"/>
        </w:rPr>
        <w:t>de la tache centrale de diffraction d’un faisceau laser par un fil est inversement proportionnelle au diamètre </w:t>
      </w:r>
      <w:r>
        <w:rPr>
          <w:b w:val="false"/>
          <w:i/>
          <w:iCs/>
        </w:rPr>
        <w:t>a</w:t>
      </w:r>
      <w:r>
        <w:rPr>
          <w:b w:val="false"/>
        </w:rPr>
        <w:t xml:space="preserve"> de ce fil, tel que : </w:t>
      </w:r>
    </w:p>
    <w:p>
      <w:pPr>
        <w:pStyle w:val="ECEcorps"/>
        <w:jc w:val="center"/>
        <w:rPr>
          <w:i/>
          <w:i/>
        </w:rPr>
      </w:pPr>
      <w:r>
        <w:rPr/>
      </w:r>
      <m:oMathPara xmlns:m="http://schemas.openxmlformats.org/officeDocument/2006/math">
        <m:oMathParaPr>
          <m:jc m:val="center"/>
        </m:oMathParaPr>
        <m:oMath>
          <m:r>
            <m:rPr>
              <m:lit/>
              <m:nor/>
            </m:rPr>
            <w:rPr>
              <w:rFonts w:ascii="Cambria Math" w:hAnsi="Cambria Math"/>
            </w:rPr>
            <m:t xml:space="preserve">L = k ×</m:t>
          </m:r>
          <m:f>
            <m:num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1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a</m:t>
              </m:r>
            </m:den>
          </m:f>
        </m:oMath>
      </m:oMathPara>
    </w:p>
    <w:p>
      <w:pPr>
        <w:pStyle w:val="ECEcorps"/>
        <w:rPr/>
      </w:pPr>
      <w:r>
        <w:rPr/>
      </w:r>
    </w:p>
    <w:p>
      <w:pPr>
        <w:pStyle w:val="ECEcorps"/>
        <w:rPr/>
      </w:pPr>
      <w:r>
        <w:rPr/>
        <w:t>Ce protocole devra notamment s’appuyer sur le tracé d’une courbe appropriée à l’aide d’un tableur-grapheur.</w:t>
      </w:r>
    </w:p>
    <w:p>
      <w:pPr>
        <w:pStyle w:val="ECEcorps"/>
        <w:rPr/>
      </w:pPr>
      <w:r>
        <w:rPr/>
      </w:r>
    </w:p>
    <w:p>
      <w:pPr>
        <w:pStyle w:val="Lignehorizontale"/>
        <w:rPr/>
      </w:pPr>
      <w:r>
        <w:rPr/>
      </w:r>
    </w:p>
    <w:p>
      <w:pPr>
        <w:pStyle w:val="ECErponse"/>
        <w:spacing w:lineRule="auto" w:line="360" w:before="120" w:after="0"/>
        <w:rPr/>
      </w:pPr>
      <w:r>
        <w:rPr/>
        <w:tab/>
        <w:t xml:space="preserve">Pour vérifier cette relation d’inverse proportionnalité, on pourra plutôt tracer la relation entre L et 1/a, qui </w:t>
        <w:tab/>
        <w:t>pourra donc être étudiée par régression linéaire.</w:t>
      </w:r>
    </w:p>
    <w:p>
      <w:pPr>
        <w:pStyle w:val="ECErponse"/>
        <w:spacing w:lineRule="auto" w:line="360" w:before="120" w:after="0"/>
        <w:rPr/>
      </w:pPr>
      <w:r>
        <w:rPr/>
        <w:tab/>
        <w:t xml:space="preserve">On choisi alors différents fils de diamètres connus, pour lesquels on mesure la largeur de tache de </w:t>
        <w:tab/>
        <w:t xml:space="preserve">diffraction. On prendra surtout soin à ce que la distance « fil - écran » </w:t>
      </w:r>
      <w:r>
        <w:rPr>
          <w:u w:val="single"/>
        </w:rPr>
        <w:t>reste la même pour chacun des fils</w:t>
      </w:r>
      <w:r>
        <w:rPr/>
        <w:t xml:space="preserve">, </w:t>
        <w:tab/>
        <w:t>de même que la longueur d’onde du laser utilisé.</w:t>
      </w:r>
    </w:p>
    <w:p>
      <w:pPr>
        <w:pStyle w:val="ECErponse"/>
        <w:spacing w:lineRule="auto" w:line="360" w:before="120" w:after="0"/>
        <w:rPr/>
      </w:pPr>
      <w:r>
        <w:rPr/>
        <w:tab/>
        <w:t>La régression linéaire entre L et 1/a donnera le facteur k.</w:t>
      </w:r>
    </w:p>
    <w:p>
      <w:pPr>
        <w:pStyle w:val="Lignehorizontale"/>
        <w:rPr/>
      </w:pPr>
      <w:r>
        <w:rPr/>
      </w:r>
    </w:p>
    <w:p>
      <w:pPr>
        <w:pStyle w:val="ECErponse"/>
        <w:spacing w:lineRule="auto" w:line="360" w:before="120" w:after="0"/>
        <w:rPr/>
      </w:pPr>
      <w:r>
        <w:rPr/>
      </w:r>
    </w:p>
    <w:tbl>
      <w:tblPr>
        <w:tblStyle w:val="Grilledutableau"/>
        <w:tblW w:w="9640" w:type="dxa"/>
        <w:jc w:val="center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1418"/>
        <w:gridCol w:w="6803"/>
        <w:gridCol w:w="1419"/>
      </w:tblGrid>
      <w:tr>
        <w:trPr/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nil"/>
            </w:tcBorders>
            <w:shd w:color="auto" w:fill="D9D9D9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Times New Roman"/>
                <w:bCs/>
                <w:color w:val="auto"/>
                <w:kern w:val="0"/>
                <w:sz w:val="20"/>
                <w:szCs w:val="22"/>
                <w:lang w:val="fr-FR" w:eastAsia="fr-FR" w:bidi="ar-SA"/>
              </w:rPr>
            </w:r>
          </w:p>
        </w:tc>
        <w:tc>
          <w:tcPr>
            <w:tcW w:w="6803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color="auto" w:fill="D9D9D9" w:val="clear"/>
            <w:vAlign w:val="center"/>
          </w:tcPr>
          <w:p>
            <w:pPr>
              <w:pStyle w:val="ECEappel"/>
              <w:widowControl/>
              <w:spacing w:before="0" w:after="0"/>
              <w:rPr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APPEL n°1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Times New Roman"/>
                <w:bCs/>
                <w:color w:val="auto"/>
                <w:kern w:val="0"/>
                <w:sz w:val="20"/>
                <w:szCs w:val="22"/>
                <w:lang w:val="fr-FR" w:eastAsia="fr-FR" w:bidi="ar-SA"/>
              </w:rPr>
            </w:r>
          </w:p>
        </w:tc>
      </w:tr>
      <w:tr>
        <w:trPr/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 w:val="96"/>
                <w:szCs w:val="96"/>
              </w:rPr>
            </w:pPr>
            <w:r>
              <w:rPr>
                <w:rFonts w:eastAsia="Wingdings" w:cs="Wingdings" w:ascii="Wingdings" w:hAnsi="Wingdings"/>
                <w:bCs/>
                <w:color w:val="auto"/>
                <w:kern w:val="0"/>
                <w:sz w:val="96"/>
                <w:szCs w:val="96"/>
                <w:lang w:val="fr-FR" w:eastAsia="fr-FR" w:bidi="ar-SA"/>
              </w:rPr>
              <w:sym w:font="Wingdings" w:char="f049"/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>
            <w:pPr>
              <w:pStyle w:val="ECEappel"/>
              <w:widowControl/>
              <w:spacing w:before="0" w:after="0"/>
              <w:rPr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Appeler le professeur pour lui présenter le protocole</w:t>
            </w:r>
          </w:p>
          <w:p>
            <w:pPr>
              <w:pStyle w:val="ECEappel"/>
              <w:widowControl/>
              <w:spacing w:before="0" w:after="0"/>
              <w:rPr>
                <w:bCs/>
                <w:szCs w:val="22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Wingdings" w:cs="Wingdings" w:ascii="Wingdings" w:hAnsi="Wingdings"/>
                <w:bCs/>
                <w:color w:val="auto"/>
                <w:kern w:val="0"/>
                <w:sz w:val="96"/>
                <w:szCs w:val="96"/>
                <w:lang w:val="fr-FR" w:eastAsia="fr-FR" w:bidi="ar-SA"/>
              </w:rPr>
              <w:sym w:font="Wingdings" w:char="f049"/>
            </w:r>
          </w:p>
        </w:tc>
      </w:tr>
    </w:tbl>
    <w:p>
      <w:pPr>
        <w:pStyle w:val="ECEcorps"/>
        <w:rPr/>
      </w:pPr>
      <w:r>
        <w:rPr/>
      </w:r>
    </w:p>
    <w:p>
      <w:pPr>
        <w:pStyle w:val="ECEcorps"/>
        <w:rPr/>
      </w:pPr>
      <w:r>
        <w:rPr/>
      </w:r>
    </w:p>
    <w:p>
      <w:pPr>
        <w:pStyle w:val="ECEpartie"/>
        <w:numPr>
          <w:ilvl w:val="0"/>
          <w:numId w:val="3"/>
        </w:numPr>
        <w:rPr/>
      </w:pPr>
      <w:bookmarkStart w:id="7" w:name="_Toc500182692"/>
      <w:bookmarkStart w:id="8" w:name="_Toc482638815"/>
      <w:r>
        <w:rPr/>
        <w:t xml:space="preserve">Exploitation de la figure de diffraction </w:t>
      </w:r>
      <w:r>
        <w:rPr>
          <w:b w:val="false"/>
          <w:bCs/>
        </w:rPr>
        <w:t>(20 minutes conseillées)</w:t>
      </w:r>
      <w:bookmarkEnd w:id="7"/>
      <w:bookmarkEnd w:id="8"/>
    </w:p>
    <w:p>
      <w:pPr>
        <w:pStyle w:val="ECEcorps"/>
        <w:rPr>
          <w:rFonts w:eastAsia="Arial Unicode MS"/>
        </w:rPr>
      </w:pPr>
      <w:r>
        <w:rPr>
          <w:rFonts w:eastAsia="Arial Unicode MS"/>
        </w:rPr>
      </w:r>
    </w:p>
    <w:p>
      <w:pPr>
        <w:pStyle w:val="ECEcorps"/>
        <w:numPr>
          <w:ilvl w:val="1"/>
          <w:numId w:val="8"/>
        </w:numPr>
        <w:rPr>
          <w:rFonts w:eastAsia="Arial Unicode MS"/>
        </w:rPr>
      </w:pPr>
      <w:r>
        <w:rPr>
          <w:rFonts w:eastAsia="Arial Unicode MS"/>
        </w:rPr>
        <w:t>Mise en œuvre du protocole</w:t>
      </w:r>
    </w:p>
    <w:p>
      <w:pPr>
        <w:pStyle w:val="ECEcorps"/>
        <w:spacing w:lineRule="auto" w:line="276"/>
        <w:ind w:left="502"/>
        <w:rPr>
          <w:rFonts w:eastAsia="Arial Unicode MS"/>
        </w:rPr>
      </w:pPr>
      <w:r>
        <w:rPr>
          <w:rFonts w:eastAsia="Arial Unicode MS"/>
        </w:rPr>
      </w:r>
    </w:p>
    <w:p>
      <w:pPr>
        <w:pStyle w:val="ECEcorps"/>
        <w:numPr>
          <w:ilvl w:val="0"/>
          <w:numId w:val="5"/>
        </w:numPr>
        <w:spacing w:lineRule="auto" w:line="276"/>
        <w:rPr>
          <w:rFonts w:eastAsia="Arial Unicode MS"/>
        </w:rPr>
      </w:pPr>
      <w:r>
        <w:rPr>
          <w:rFonts w:eastAsia="Arial Unicode MS"/>
        </w:rPr>
        <w:t>Mettre en œuvre le protocole proposé ci-dessus</w:t>
      </w:r>
      <w:r>
        <w:rPr>
          <w:rFonts w:eastAsia="Arial Unicode MS"/>
          <w:b/>
        </w:rPr>
        <w:t xml:space="preserve"> </w:t>
      </w:r>
      <w:r>
        <w:rPr>
          <w:rFonts w:eastAsia="Arial Unicode MS"/>
        </w:rPr>
        <w:t xml:space="preserve">en choisissant une distance </w:t>
      </w:r>
      <w:r>
        <w:rPr>
          <w:rFonts w:eastAsia="Arial Unicode MS"/>
          <w:i/>
          <w:iCs/>
        </w:rPr>
        <w:t xml:space="preserve">D </w:t>
      </w:r>
      <w:r>
        <w:rPr>
          <w:rFonts w:eastAsia="Arial Unicode MS"/>
          <w:iCs/>
        </w:rPr>
        <w:t>appropriée</w:t>
      </w:r>
      <w:r>
        <w:rPr>
          <w:rFonts w:eastAsia="Arial Unicode MS"/>
        </w:rPr>
        <w:t xml:space="preserve"> entre les fils calibrés</w:t>
      </w:r>
      <w:r>
        <w:rPr>
          <w:rFonts w:eastAsia="Arial Unicode MS"/>
          <w:b/>
        </w:rPr>
        <w:t xml:space="preserve"> </w:t>
      </w:r>
      <w:r>
        <w:rPr/>
        <w:t>et l’écran. Noter ci-dessous la valeur choisie pour la distance</w:t>
      </w:r>
      <w:r>
        <w:rPr>
          <w:rFonts w:eastAsia="Arial Unicode MS"/>
          <w:i/>
          <w:iCs/>
        </w:rPr>
        <w:t xml:space="preserve"> D </w:t>
      </w:r>
      <w:r>
        <w:rPr/>
        <w:t>:</w:t>
      </w:r>
    </w:p>
    <w:p>
      <w:pPr>
        <w:pStyle w:val="ECEcorps"/>
        <w:spacing w:lineRule="auto" w:line="276"/>
        <w:ind w:firstLine="698" w:left="4265"/>
        <w:rPr>
          <w:rFonts w:eastAsia="Arial Unicode MS"/>
        </w:rPr>
      </w:pPr>
      <w:r>
        <w:rPr>
          <w:rFonts w:eastAsia="Arial Unicode MS"/>
          <w:i/>
          <w:iCs/>
        </w:rPr>
        <w:t xml:space="preserve">D = ………. </w:t>
      </w:r>
      <w:r>
        <w:rPr>
          <w:rFonts w:eastAsia="Arial Unicode MS"/>
          <w:iCs/>
        </w:rPr>
        <w:t xml:space="preserve">m   </w:t>
      </w:r>
      <w:r>
        <w:rPr>
          <w:rFonts w:eastAsia="Arial Unicode MS"/>
          <w:i/>
          <w:iCs/>
          <w:color w:val="C9211E"/>
        </w:rPr>
        <w:t>dépend de la paillasse, mais le plus grand possible… typiquement 1m ?</w:t>
      </w:r>
    </w:p>
    <w:p>
      <w:pPr>
        <w:pStyle w:val="ECEcorps"/>
        <w:spacing w:lineRule="auto" w:line="276"/>
        <w:ind w:left="720"/>
        <w:rPr>
          <w:rFonts w:eastAsia="Arial Unicode MS"/>
        </w:rPr>
      </w:pPr>
      <w:r>
        <w:rPr>
          <w:rFonts w:eastAsia="Arial Unicode MS"/>
        </w:rPr>
      </w:r>
    </w:p>
    <w:p>
      <w:pPr>
        <w:pStyle w:val="ECEcorps"/>
        <w:numPr>
          <w:ilvl w:val="0"/>
          <w:numId w:val="5"/>
        </w:numPr>
        <w:spacing w:lineRule="auto" w:line="276"/>
        <w:rPr>
          <w:rFonts w:eastAsia="Arial Unicode MS"/>
        </w:rPr>
      </w:pPr>
      <w:r>
        <w:rPr>
          <w:rFonts w:eastAsia="Arial Unicode MS"/>
        </w:rPr>
        <w:t>Compléter le tableau ci-dessous puis effectuer la représentation graphique.</w:t>
      </w:r>
    </w:p>
    <w:p>
      <w:pPr>
        <w:pStyle w:val="Normal"/>
        <w:rPr>
          <w:rFonts w:eastAsia="Arial Unicode MS"/>
        </w:rPr>
      </w:pPr>
      <w:r>
        <w:rPr>
          <w:rFonts w:eastAsia="Arial Unicode MS"/>
        </w:rPr>
      </w:r>
    </w:p>
    <w:tbl>
      <w:tblPr>
        <w:tblStyle w:val="Grilledutableau"/>
        <w:tblW w:w="101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85"/>
        <w:gridCol w:w="1340"/>
        <w:gridCol w:w="1328"/>
        <w:gridCol w:w="1328"/>
        <w:gridCol w:w="1328"/>
        <w:gridCol w:w="1228"/>
      </w:tblGrid>
      <w:tr>
        <w:trPr>
          <w:trHeight w:val="599" w:hRule="atLeast"/>
        </w:trPr>
        <w:tc>
          <w:tcPr>
            <w:tcW w:w="3585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  <w:t xml:space="preserve">Diamètre </w:t>
            </w:r>
            <w:r>
              <w:rPr>
                <w:rFonts w:eastAsia="Times New Roman"/>
                <w:i/>
                <w:iCs/>
                <w:kern w:val="0"/>
                <w:sz w:val="20"/>
                <w:szCs w:val="20"/>
                <w:lang w:val="fr-FR" w:eastAsia="fr-FR" w:bidi="ar-SA"/>
              </w:rPr>
              <w:t>a</w:t>
            </w: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  <w:t xml:space="preserve"> du fil (en mètre)</w:t>
            </w:r>
          </w:p>
        </w:tc>
        <w:tc>
          <w:tcPr>
            <w:tcW w:w="1340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vertAlign w:val="superscript"/>
              </w:rPr>
            </w:pPr>
            <w:r>
              <w:rPr>
                <w:rFonts w:eastAsia="Times New Roman"/>
                <w:kern w:val="0"/>
                <w:sz w:val="20"/>
                <w:szCs w:val="20"/>
                <w:vertAlign w:val="superscript"/>
                <w:lang w:val="fr-FR" w:eastAsia="fr-FR" w:bidi="ar-SA"/>
              </w:rPr>
            </w:r>
          </w:p>
        </w:tc>
        <w:tc>
          <w:tcPr>
            <w:tcW w:w="1328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vertAlign w:val="superscript"/>
              </w:rPr>
            </w:pPr>
            <w:r>
              <w:rPr>
                <w:rFonts w:eastAsia="Times New Roman"/>
                <w:kern w:val="0"/>
                <w:sz w:val="20"/>
                <w:szCs w:val="20"/>
                <w:vertAlign w:val="superscript"/>
                <w:lang w:val="fr-FR" w:eastAsia="fr-FR" w:bidi="ar-SA"/>
              </w:rPr>
            </w:r>
          </w:p>
        </w:tc>
        <w:tc>
          <w:tcPr>
            <w:tcW w:w="1328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vertAlign w:val="superscript"/>
              </w:rPr>
            </w:pPr>
            <w:r>
              <w:rPr>
                <w:rFonts w:eastAsia="Times New Roman"/>
                <w:kern w:val="0"/>
                <w:sz w:val="20"/>
                <w:szCs w:val="20"/>
                <w:vertAlign w:val="superscript"/>
                <w:lang w:val="fr-FR" w:eastAsia="fr-FR" w:bidi="ar-SA"/>
              </w:rPr>
            </w:r>
          </w:p>
        </w:tc>
        <w:tc>
          <w:tcPr>
            <w:tcW w:w="1328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vertAlign w:val="superscript"/>
              </w:rPr>
            </w:pPr>
            <w:r>
              <w:rPr>
                <w:rFonts w:eastAsia="Times New Roman"/>
                <w:kern w:val="0"/>
                <w:sz w:val="20"/>
                <w:szCs w:val="20"/>
                <w:vertAlign w:val="superscript"/>
                <w:lang w:val="fr-FR" w:eastAsia="fr-FR" w:bidi="ar-SA"/>
              </w:rPr>
            </w:r>
          </w:p>
        </w:tc>
        <w:tc>
          <w:tcPr>
            <w:tcW w:w="1228" w:type="dxa"/>
            <w:tcBorders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vertAlign w:val="superscript"/>
              </w:rPr>
            </w:pPr>
            <w:r>
              <w:rPr>
                <w:rFonts w:eastAsia="Times New Roman"/>
                <w:kern w:val="0"/>
                <w:sz w:val="20"/>
                <w:szCs w:val="20"/>
                <w:vertAlign w:val="superscript"/>
                <w:lang w:val="fr-FR" w:eastAsia="fr-FR" w:bidi="ar-SA"/>
              </w:rPr>
            </w:r>
          </w:p>
        </w:tc>
      </w:tr>
      <w:tr>
        <w:trPr>
          <w:trHeight w:val="693" w:hRule="atLeast"/>
        </w:trPr>
        <w:tc>
          <w:tcPr>
            <w:tcW w:w="3585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  <w:t xml:space="preserve">Largeur </w:t>
            </w:r>
            <w:r>
              <w:rPr>
                <w:rFonts w:eastAsia="Times New Roman"/>
                <w:i/>
                <w:kern w:val="0"/>
                <w:sz w:val="20"/>
                <w:szCs w:val="20"/>
                <w:lang w:val="fr-FR" w:eastAsia="fr-FR" w:bidi="ar-SA"/>
              </w:rPr>
              <w:t>L</w:t>
            </w: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  <w:t xml:space="preserve"> de la</w:t>
            </w:r>
          </w:p>
          <w:p>
            <w:pPr>
              <w:pStyle w:val="ECEcorps"/>
              <w:widowControl/>
              <w:spacing w:lineRule="auto" w:line="276" w:before="0" w:after="0"/>
              <w:jc w:val="center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  <w:t>tache centrale (en mètre)</w:t>
            </w:r>
          </w:p>
        </w:tc>
        <w:tc>
          <w:tcPr>
            <w:tcW w:w="1340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r>
          </w:p>
        </w:tc>
        <w:tc>
          <w:tcPr>
            <w:tcW w:w="1328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r>
          </w:p>
        </w:tc>
        <w:tc>
          <w:tcPr>
            <w:tcW w:w="1328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r>
          </w:p>
        </w:tc>
        <w:tc>
          <w:tcPr>
            <w:tcW w:w="1328" w:type="dxa"/>
            <w:tcBorders/>
            <w:vAlign w:val="center"/>
          </w:tcPr>
          <w:p>
            <w:pPr>
              <w:pStyle w:val="ECEcorps"/>
              <w:widowControl/>
              <w:spacing w:lineRule="auto" w:line="276" w:before="0" w:after="0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r>
          </w:p>
        </w:tc>
        <w:tc>
          <w:tcPr>
            <w:tcW w:w="1228" w:type="dxa"/>
            <w:tcBorders/>
          </w:tcPr>
          <w:p>
            <w:pPr>
              <w:pStyle w:val="ECEcorps"/>
              <w:widowControl/>
              <w:spacing w:lineRule="auto" w:line="276" w:before="0" w:after="0"/>
              <w:jc w:val="center"/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rFonts w:eastAsia="Times New Roman"/>
                <w:kern w:val="0"/>
                <w:sz w:val="20"/>
                <w:szCs w:val="20"/>
                <w:lang w:val="fr-FR" w:eastAsia="fr-FR" w:bidi="ar-SA"/>
              </w:rPr>
            </w:r>
          </w:p>
        </w:tc>
      </w:tr>
    </w:tbl>
    <w:p>
      <w:pPr>
        <w:pStyle w:val="ECEcorps"/>
        <w:rPr/>
      </w:pPr>
      <w:r>
        <w:rPr/>
      </w:r>
    </w:p>
    <w:tbl>
      <w:tblPr>
        <w:tblStyle w:val="Grilledutableau"/>
        <w:tblW w:w="9640" w:type="dxa"/>
        <w:jc w:val="center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1418"/>
        <w:gridCol w:w="6803"/>
        <w:gridCol w:w="1419"/>
      </w:tblGrid>
      <w:tr>
        <w:trPr/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nil"/>
            </w:tcBorders>
            <w:shd w:color="auto" w:fill="D9D9D9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Times New Roman"/>
                <w:bCs/>
                <w:color w:val="auto"/>
                <w:kern w:val="0"/>
                <w:sz w:val="20"/>
                <w:szCs w:val="22"/>
                <w:lang w:val="fr-FR" w:eastAsia="fr-FR" w:bidi="ar-SA"/>
              </w:rPr>
            </w:r>
          </w:p>
        </w:tc>
        <w:tc>
          <w:tcPr>
            <w:tcW w:w="6803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color="auto" w:fill="D9D9D9" w:val="clear"/>
            <w:vAlign w:val="center"/>
          </w:tcPr>
          <w:p>
            <w:pPr>
              <w:pStyle w:val="ECEappel"/>
              <w:widowControl/>
              <w:spacing w:before="0" w:after="0"/>
              <w:rPr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APPEL n°2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Times New Roman"/>
                <w:bCs/>
                <w:color w:val="auto"/>
                <w:kern w:val="0"/>
                <w:sz w:val="20"/>
                <w:szCs w:val="22"/>
                <w:lang w:val="fr-FR" w:eastAsia="fr-FR" w:bidi="ar-SA"/>
              </w:rPr>
            </w:r>
          </w:p>
        </w:tc>
      </w:tr>
      <w:tr>
        <w:trPr/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 w:val="96"/>
                <w:szCs w:val="96"/>
              </w:rPr>
            </w:pPr>
            <w:r>
              <w:rPr>
                <w:rFonts w:eastAsia="Wingdings" w:cs="Wingdings" w:ascii="Wingdings" w:hAnsi="Wingdings"/>
                <w:bCs/>
                <w:color w:val="auto"/>
                <w:kern w:val="0"/>
                <w:sz w:val="96"/>
                <w:szCs w:val="96"/>
                <w:lang w:val="fr-FR" w:eastAsia="fr-FR" w:bidi="ar-SA"/>
              </w:rPr>
              <w:sym w:font="Wingdings" w:char="f049"/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>
            <w:pPr>
              <w:pStyle w:val="ECEappel"/>
              <w:widowControl/>
              <w:spacing w:before="0" w:after="0"/>
              <w:rPr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Appeler le professeur pour lui présenter les résultats expérimentaux et la représentation graphique ou en cas de difficulté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Wingdings" w:cs="Wingdings" w:ascii="Wingdings" w:hAnsi="Wingdings"/>
                <w:bCs/>
                <w:color w:val="auto"/>
                <w:kern w:val="0"/>
                <w:sz w:val="96"/>
                <w:szCs w:val="96"/>
                <w:lang w:val="fr-FR" w:eastAsia="fr-FR" w:bidi="ar-SA"/>
              </w:rPr>
              <w:sym w:font="Wingdings" w:char="f049"/>
            </w:r>
          </w:p>
        </w:tc>
      </w:tr>
    </w:tbl>
    <w:p>
      <w:pPr>
        <w:pStyle w:val="ECEcorps"/>
        <w:rPr/>
      </w:pPr>
      <w:r>
        <w:rPr/>
      </w:r>
    </w:p>
    <w:p>
      <w:pPr>
        <w:pStyle w:val="ECEcorps"/>
        <w:numPr>
          <w:ilvl w:val="1"/>
          <w:numId w:val="8"/>
        </w:numPr>
        <w:spacing w:lineRule="auto" w:line="276"/>
        <w:rPr/>
      </w:pPr>
      <w:r>
        <w:rPr/>
        <w:t>Exploitation des mesures</w:t>
      </w:r>
    </w:p>
    <w:p>
      <w:pPr>
        <w:pStyle w:val="ECEcorps"/>
        <w:spacing w:lineRule="auto" w:line="276"/>
        <w:rPr/>
      </w:pPr>
      <w:r>
        <w:rPr/>
      </w:r>
    </w:p>
    <w:p>
      <w:pPr>
        <w:pStyle w:val="ECEcorps"/>
        <w:rPr/>
      </w:pPr>
      <w:r>
        <w:rPr/>
        <w:t xml:space="preserve">Le programme Python « courbe.py » ouvert sur l’ordinateur permet de représenter graphiquement la largeur des taches centrales des figures de diffraction en fonction de l’inverse des diamètres des fils calibrés. Il modélise la relation : </w:t>
      </w:r>
    </w:p>
    <w:p>
      <w:pPr>
        <w:pStyle w:val="ECEcorps"/>
        <w:jc w:val="center"/>
        <w:rPr/>
      </w:pPr>
      <w:r>
        <w:rPr/>
      </w:r>
      <m:oMathPara xmlns:m="http://schemas.openxmlformats.org/officeDocument/2006/math">
        <m:oMathParaPr>
          <m:jc m:val="center"/>
        </m:oMathParaPr>
        <m:oMath>
          <m:r>
            <m:rPr>
              <m:lit/>
              <m:nor/>
            </m:rPr>
            <w:rPr>
              <w:rFonts w:ascii="Cambria Math" w:hAnsi="Cambria Math"/>
            </w:rPr>
            <m:t xml:space="preserve">L = k ×</m:t>
          </m:r>
          <m:f>
            <m:num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1</m:t>
              </m:r>
            </m:num>
            <m:den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a</m:t>
              </m:r>
            </m:den>
          </m:f>
        </m:oMath>
      </m:oMathPara>
    </w:p>
    <w:p>
      <w:pPr>
        <w:pStyle w:val="ECEcorps"/>
        <w:jc w:val="center"/>
        <w:rPr/>
      </w:pPr>
      <w:r>
        <w:rPr/>
      </w:r>
    </w:p>
    <w:p>
      <w:pPr>
        <w:pStyle w:val="ECEcorps"/>
        <w:numPr>
          <w:ilvl w:val="0"/>
          <w:numId w:val="6"/>
        </w:numPr>
        <w:spacing w:lineRule="auto" w:line="240"/>
        <w:rPr/>
      </w:pPr>
      <w:r>
        <w:rPr/>
        <w:t xml:space="preserve">Compléter </w:t>
      </w:r>
      <w:r>
        <w:rPr>
          <w:b/>
          <w:bCs/>
        </w:rPr>
        <w:t xml:space="preserve">les lignes </w:t>
      </w:r>
      <w:r>
        <w:rPr>
          <w:b/>
        </w:rPr>
        <w:t>À</w:t>
      </w:r>
      <w:r>
        <w:rPr>
          <w:b/>
          <w:bCs/>
        </w:rPr>
        <w:t xml:space="preserve"> COMPLETER PAR LE CANDIDAT</w:t>
      </w:r>
      <w:r>
        <w:rPr/>
        <w:t xml:space="preserve"> du programme Python avec les valeurs du tableau puis exécuter le programme.</w:t>
      </w:r>
    </w:p>
    <w:p>
      <w:pPr>
        <w:pStyle w:val="ECEcorps"/>
        <w:spacing w:lineRule="auto" w:line="240"/>
        <w:rPr/>
      </w:pPr>
      <w:r>
        <w:rPr/>
      </w:r>
    </w:p>
    <w:p>
      <w:pPr>
        <w:pStyle w:val="ECEcorps"/>
        <w:numPr>
          <w:ilvl w:val="0"/>
          <w:numId w:val="6"/>
        </w:numPr>
        <w:spacing w:lineRule="auto" w:line="240"/>
        <w:ind w:hanging="357" w:left="714"/>
        <w:rPr/>
      </w:pPr>
      <w:r>
        <w:rPr/>
        <w:t xml:space="preserve">Noter la valeur du coefficient directeur </w:t>
      </w:r>
      <w:r>
        <w:rPr>
          <w:i/>
          <w:iCs/>
        </w:rPr>
        <w:t>k</w:t>
      </w:r>
      <w:r>
        <w:rPr/>
        <w:t xml:space="preserve"> assortie de son incertitude-type </w:t>
      </w:r>
      <w:r>
        <w:rPr>
          <w:i/>
          <w:iCs/>
        </w:rPr>
        <w:t>u</w:t>
      </w:r>
      <w:r>
        <w:rPr/>
        <w:t>(</w:t>
      </w:r>
      <w:r>
        <w:rPr>
          <w:i/>
          <w:iCs/>
        </w:rPr>
        <w:t>k</w:t>
      </w:r>
      <w:r>
        <w:rPr/>
        <w:t>) :</w:t>
      </w:r>
    </w:p>
    <w:p>
      <w:pPr>
        <w:pStyle w:val="ListParagraph"/>
        <w:rPr/>
      </w:pPr>
      <w:r>
        <w:rPr/>
      </w:r>
    </w:p>
    <w:p>
      <w:pPr>
        <w:pStyle w:val="ECEcorps"/>
        <w:spacing w:lineRule="auto" w:line="240"/>
        <w:ind w:left="714"/>
        <w:jc w:val="center"/>
        <w:rPr/>
      </w:pPr>
      <w:r>
        <w:rPr>
          <w:i/>
          <w:iCs/>
        </w:rPr>
        <w:t xml:space="preserve">k </w:t>
      </w:r>
      <w:r>
        <w:rPr/>
        <w:t>= ………………….</w:t>
        <w:tab/>
        <w:tab/>
        <w:tab/>
      </w:r>
      <w:r>
        <w:rPr>
          <w:i/>
          <w:iCs/>
        </w:rPr>
        <w:t>u</w:t>
      </w:r>
      <w:r>
        <w:rPr/>
        <w:t>(</w:t>
      </w:r>
      <w:r>
        <w:rPr>
          <w:i/>
          <w:iCs/>
        </w:rPr>
        <w:t>k</w:t>
      </w:r>
      <w:r>
        <w:rPr/>
        <w:t xml:space="preserve">) </w:t>
      </w:r>
      <w:r>
        <w:rPr>
          <w:i/>
          <w:iCs/>
        </w:rPr>
        <w:t xml:space="preserve"> </w:t>
      </w:r>
      <w:r>
        <w:rPr/>
        <w:t>= ………………….</w:t>
      </w:r>
    </w:p>
    <w:p>
      <w:pPr>
        <w:pStyle w:val="ECEcorps"/>
        <w:spacing w:lineRule="auto" w:line="240"/>
        <w:ind w:left="714"/>
        <w:jc w:val="center"/>
        <w:rPr/>
      </w:pPr>
      <w:r>
        <w:rPr/>
      </w:r>
    </w:p>
    <w:p>
      <w:pPr>
        <w:pStyle w:val="ECEpartie"/>
        <w:numPr>
          <w:ilvl w:val="0"/>
          <w:numId w:val="8"/>
        </w:numPr>
        <w:spacing w:lineRule="auto" w:line="276"/>
        <w:rPr>
          <w:bCs/>
        </w:rPr>
      </w:pPr>
      <w:bookmarkStart w:id="9" w:name="_Toc25675755"/>
      <w:r>
        <w:rPr>
          <w:bCs/>
        </w:rPr>
        <w:t xml:space="preserve">Diamètre du brin de la brosse à dents </w:t>
      </w:r>
      <w:r>
        <w:rPr>
          <w:b w:val="false"/>
        </w:rPr>
        <w:t>(20 minutes conseillées)</w:t>
      </w:r>
      <w:bookmarkEnd w:id="9"/>
    </w:p>
    <w:p>
      <w:pPr>
        <w:pStyle w:val="ECErponse"/>
        <w:numPr>
          <w:ilvl w:val="1"/>
          <w:numId w:val="9"/>
        </w:numPr>
        <w:rPr/>
      </w:pPr>
      <w:r>
        <w:rPr/>
        <w:t xml:space="preserve">Dans le montage précédent, remplacer le fil calibré par un brin de la brosse à dents préalablement monté sur un support avec la mention « brin de brosse à dents » en prenant soin de ne pas modifier la distance </w:t>
      </w:r>
      <w:r>
        <w:rPr>
          <w:i/>
          <w:iCs/>
        </w:rPr>
        <w:t>D</w:t>
      </w:r>
      <w:r>
        <w:rPr/>
        <w:t xml:space="preserve">. </w:t>
        <w:br/>
        <w:t xml:space="preserve">Mesurer la largeur </w:t>
      </w:r>
      <w:r>
        <w:rPr>
          <w:rFonts w:cs="Arial" w:cstheme="minorBidi"/>
          <w:i/>
          <w:iCs/>
        </w:rPr>
        <w:t>L</w:t>
      </w:r>
      <w:r>
        <w:rPr>
          <w:rFonts w:cs="Arial" w:cstheme="minorBidi"/>
          <w:vertAlign w:val="subscript"/>
        </w:rPr>
        <w:t>brin</w:t>
      </w:r>
      <w:r>
        <w:rPr/>
        <w:t xml:space="preserve"> de la tache centrale de la figure de diffraction et estimer l’incertitude-type </w:t>
      </w:r>
      <w:r>
        <w:rPr>
          <w:rFonts w:cs="Arial" w:cstheme="minorBidi"/>
          <w:i/>
          <w:iCs/>
        </w:rPr>
        <w:t>u</w:t>
      </w:r>
      <w:r>
        <w:rPr>
          <w:rFonts w:cs="Arial" w:cstheme="minorBidi"/>
          <w:iCs/>
        </w:rPr>
        <w:t>(</w:t>
      </w:r>
      <w:r>
        <w:rPr>
          <w:rFonts w:cs="Arial" w:cstheme="minorBidi"/>
          <w:i/>
          <w:iCs/>
        </w:rPr>
        <w:t>L</w:t>
      </w:r>
      <w:r>
        <w:rPr>
          <w:rFonts w:cs="Arial" w:cstheme="minorBidi"/>
          <w:vertAlign w:val="subscript"/>
        </w:rPr>
        <w:t>brin</w:t>
      </w:r>
      <w:r>
        <w:rPr>
          <w:rFonts w:cs="Arial" w:cstheme="minorBidi"/>
          <w:iCs/>
        </w:rPr>
        <w:t>)</w:t>
      </w:r>
      <w:r>
        <w:rPr>
          <w:rFonts w:cs="Arial" w:cstheme="minorBidi"/>
        </w:rPr>
        <w:t>.</w:t>
      </w:r>
    </w:p>
    <w:p>
      <w:pPr>
        <w:pStyle w:val="ListParagraph"/>
        <w:rPr/>
      </w:pPr>
      <w:r>
        <w:rPr/>
      </w:r>
    </w:p>
    <w:p>
      <w:pPr>
        <w:pStyle w:val="ECEcorps"/>
        <w:spacing w:lineRule="auto" w:line="240"/>
        <w:ind w:left="714"/>
        <w:jc w:val="center"/>
        <w:rPr/>
      </w:pPr>
      <w:r>
        <w:rPr>
          <w:rFonts w:cs="Arial" w:cstheme="minorBidi"/>
          <w:i/>
          <w:iCs/>
        </w:rPr>
        <w:t>L</w:t>
      </w:r>
      <w:r>
        <w:rPr>
          <w:rFonts w:cs="Arial" w:cstheme="minorBidi"/>
          <w:vertAlign w:val="subscript"/>
        </w:rPr>
        <w:t>brin</w:t>
      </w:r>
      <w:r>
        <w:rPr>
          <w:i/>
          <w:iCs/>
        </w:rPr>
        <w:t xml:space="preserve"> </w:t>
      </w:r>
      <w:r>
        <w:rPr/>
        <w:t>= ………………….</w:t>
        <w:tab/>
        <w:tab/>
        <w:tab/>
      </w:r>
      <w:r>
        <w:rPr>
          <w:rFonts w:cs="Arial" w:cstheme="minorBidi"/>
          <w:i/>
          <w:iCs/>
        </w:rPr>
        <w:t>u(L</w:t>
      </w:r>
      <w:r>
        <w:rPr>
          <w:rFonts w:cs="Arial" w:cstheme="minorBidi"/>
          <w:vertAlign w:val="subscript"/>
        </w:rPr>
        <w:t>brin</w:t>
      </w:r>
      <w:r>
        <w:rPr>
          <w:rFonts w:cs="Arial" w:cstheme="minorBidi"/>
          <w:i/>
          <w:iCs/>
        </w:rPr>
        <w:t xml:space="preserve">) </w:t>
      </w:r>
      <w:r>
        <w:rPr/>
        <w:t>= ………………….</w:t>
      </w:r>
    </w:p>
    <w:p>
      <w:pPr>
        <w:pStyle w:val="ECErponse"/>
        <w:numPr>
          <w:ilvl w:val="1"/>
          <w:numId w:val="9"/>
        </w:numPr>
        <w:rPr/>
      </w:pPr>
      <w:r>
        <w:rPr/>
        <w:t xml:space="preserve">En utilisant la valeur de k, déterminer la valeur du diamètre </w:t>
      </w:r>
      <w:r>
        <w:rPr>
          <w:i/>
          <w:iCs/>
        </w:rPr>
        <w:t>a</w:t>
      </w:r>
      <w:r>
        <w:rPr>
          <w:vertAlign w:val="subscript"/>
        </w:rPr>
        <w:t>brin</w:t>
      </w:r>
      <w:r>
        <w:rPr/>
        <w:t xml:space="preserve"> du brin de brosse à dents.</w:t>
      </w:r>
    </w:p>
    <w:p>
      <w:pPr>
        <w:pStyle w:val="ECErponse"/>
        <w:spacing w:lineRule="auto" w:line="360" w:before="120" w:after="0"/>
        <w:rPr/>
      </w:pPr>
      <w:r>
        <w:rPr/>
      </w:r>
    </w:p>
    <w:p>
      <w:pPr>
        <w:pStyle w:val="Lignehorizontale"/>
        <w:rPr/>
      </w:pPr>
      <w:r>
        <w:rPr/>
      </w:r>
    </w:p>
    <w:p>
      <w:pPr>
        <w:pStyle w:val="ECErponse"/>
        <w:spacing w:lineRule="auto" w:line="360" w:before="120" w:after="0"/>
        <w:rPr/>
      </w:pPr>
      <w:r>
        <w:rPr/>
        <w:tab/>
        <w:t xml:space="preserve">Les fils calibrés ont permis d’obtenir la valeur de k </w:t>
      </w:r>
      <w:r>
        <w:rPr>
          <w:b/>
          <w:bCs/>
        </w:rPr>
        <w:t>pour la distance D fixée à ne surtout pas modifier</w:t>
      </w:r>
      <w:r>
        <w:rPr>
          <w:b/>
          <w:bCs/>
          <w:i/>
          <w:iCs/>
        </w:rPr>
        <w:t xml:space="preserve">. </w:t>
      </w:r>
    </w:p>
    <w:p>
      <w:pPr>
        <w:pStyle w:val="ECErponse"/>
        <w:spacing w:lineRule="auto" w:line="360" w:before="120" w:after="0"/>
        <w:rPr/>
      </w:pPr>
      <w:r>
        <w:rPr>
          <w:b w:val="false"/>
          <w:bCs w:val="false"/>
          <w:i w:val="false"/>
          <w:iCs w:val="false"/>
        </w:rPr>
        <w:tab/>
        <w:t xml:space="preserve">Dès lors, on a </w:t>
      </w:r>
      <w:r>
        <w:rPr>
          <w:b w:val="false"/>
          <w:bCs w:val="false"/>
          <w:i w:val="false"/>
          <w:iCs w:val="false"/>
        </w:rPr>
      </w:r>
      <m:oMath xmlns:m="http://schemas.openxmlformats.org/officeDocument/2006/math"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L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brin</m:t>
            </m:r>
          </m:sub>
        </m:sSub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k ×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</m:t>
            </m:r>
          </m:num>
          <m:den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brin</m:t>
                </m:r>
              </m:sub>
            </m:sSub>
          </m:den>
        </m:f>
      </m:oMath>
      <w:r>
        <w:rPr>
          <w:b w:val="false"/>
          <w:bCs w:val="false"/>
          <w:i w:val="false"/>
          <w:iCs w:val="false"/>
        </w:rPr>
        <w:t xml:space="preserve">, d’où </w:t>
      </w:r>
      <w:r>
        <w:rPr>
          <w:b w:val="false"/>
          <w:bCs w:val="false"/>
          <w:i w:val="false"/>
          <w:iCs w:val="false"/>
        </w:rPr>
      </w:r>
      <m:oMath xmlns:m="http://schemas.openxmlformats.org/officeDocument/2006/math"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a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brin</m:t>
            </m:r>
          </m:sub>
        </m:sSub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k ×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</m:t>
            </m:r>
          </m:num>
          <m:den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L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brin</m:t>
                </m:r>
              </m:sub>
            </m:sSub>
          </m:den>
        </m:f>
      </m:oMath>
    </w:p>
    <w:p>
      <w:pPr>
        <w:pStyle w:val="ECErponse"/>
        <w:spacing w:lineRule="auto" w:line="360" w:before="120" w:after="0"/>
        <w:rPr/>
      </w:pPr>
      <w:r>
        <w:rPr/>
      </w:r>
    </w:p>
    <w:p>
      <w:pPr>
        <w:pStyle w:val="ECErponse"/>
        <w:spacing w:lineRule="auto" w:line="360" w:before="120" w:after="0"/>
        <w:rPr/>
      </w:pPr>
      <w:r>
        <w:rPr/>
        <w:tab/>
        <w:t xml:space="preserve">L’incertitude était donnée par l’énoncé, soit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u</m:t>
        </m:r>
        <m:r>
          <m:rPr>
            <m:lit/>
            <m:nor/>
          </m:rPr>
          <w:rPr>
            <w:rFonts w:ascii="Cambria Math" w:hAnsi="Cambria Math"/>
          </w:rPr>
          <m:t xml:space="preserve">(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a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brin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)</m:t>
        </m:r>
        <m:r>
          <m:rPr>
            <m:lit/>
            <m:nor/>
          </m:rPr>
          <w:rPr>
            <w:rFonts w:ascii="Cambria Math" w:hAnsi="Cambria Math"/>
          </w:rP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=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 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a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brin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×</m:t>
        </m:r>
        <m:rad>
          <m:radPr>
            <m:degHide m:val="1"/>
          </m:radPr>
          <m:deg/>
          <m:e>
            <m:sSup>
              <m:e>
                <m:d>
                  <m:dPr>
                    <m:begChr m:val="("/>
                    <m:endChr m:val=")"/>
                  </m:dPr>
                  <m:e>
                    <m:f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u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(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k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)</m:t>
                        </m:r>
                      </m:num>
                      <m:den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k</m:t>
                        </m:r>
                      </m:den>
                    </m:f>
                  </m:e>
                </m:d>
              </m:e>
              <m: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m:rPr>
                <m:lit/>
                <m:nor/>
              </m:rPr>
              <w:rPr>
                <w:rFonts w:ascii="Cambria Math" w:hAnsi="Cambria Math"/>
              </w:rPr>
              <m:t xml:space="preserve">+</m:t>
            </m:r>
            <m:sSup>
              <m:e>
                <m:d>
                  <m:dPr>
                    <m:begChr m:val="("/>
                    <m:endChr m:val=")"/>
                  </m:dPr>
                  <m:e>
                    <m:f>
                      <m:num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u</m:t>
                        </m:r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(</m:t>
                        </m:r>
                        <m:sSub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 xml:space="preserve">L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 xml:space="preserve">brin</m:t>
                            </m:r>
                          </m:sub>
                        </m:sSub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)</m:t>
                        </m:r>
                      </m:num>
                      <m:den>
                        <m:sSub>
                          <m:e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 xml:space="preserve">L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</w:rPr>
                              <m:t xml:space="preserve">brin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2</m:t>
                </m:r>
              </m:sup>
            </m:sSup>
          </m:e>
        </m:rad>
      </m:oMath>
    </w:p>
    <w:p>
      <w:pPr>
        <w:pStyle w:val="Lignehorizontale"/>
        <w:rPr/>
      </w:pPr>
      <w:r>
        <w:rPr/>
      </w:r>
    </w:p>
    <w:tbl>
      <w:tblPr>
        <w:tblStyle w:val="Grilledutableau"/>
        <w:tblW w:w="9640" w:type="dxa"/>
        <w:jc w:val="center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firstRow="1" w:noVBand="1" w:lastRow="0" w:firstColumn="1" w:lastColumn="0" w:noHBand="0" w:val="04a0"/>
      </w:tblPr>
      <w:tblGrid>
        <w:gridCol w:w="1418"/>
        <w:gridCol w:w="6803"/>
        <w:gridCol w:w="1419"/>
      </w:tblGrid>
      <w:tr>
        <w:trPr/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nil"/>
            </w:tcBorders>
            <w:shd w:color="auto" w:fill="D9D9D9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Times New Roman"/>
                <w:bCs/>
                <w:color w:val="auto"/>
                <w:kern w:val="0"/>
                <w:sz w:val="20"/>
                <w:szCs w:val="22"/>
                <w:lang w:val="fr-FR" w:eastAsia="fr-FR" w:bidi="ar-SA"/>
              </w:rPr>
            </w:r>
          </w:p>
        </w:tc>
        <w:tc>
          <w:tcPr>
            <w:tcW w:w="6803" w:type="dxa"/>
            <w:tcBorders>
              <w:top w:val="single" w:sz="18" w:space="0" w:color="000000"/>
              <w:left w:val="nil"/>
              <w:bottom w:val="single" w:sz="6" w:space="0" w:color="000000"/>
              <w:right w:val="nil"/>
            </w:tcBorders>
            <w:shd w:color="auto" w:fill="D9D9D9" w:val="clear"/>
            <w:vAlign w:val="center"/>
          </w:tcPr>
          <w:p>
            <w:pPr>
              <w:pStyle w:val="ECEappel"/>
              <w:widowControl/>
              <w:spacing w:before="0" w:after="0"/>
              <w:rPr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APPEL n°3</w:t>
            </w:r>
          </w:p>
        </w:tc>
        <w:tc>
          <w:tcPr>
            <w:tcW w:w="1419" w:type="dxa"/>
            <w:tcBorders>
              <w:top w:val="single" w:sz="18" w:space="0" w:color="000000"/>
              <w:left w:val="nil"/>
              <w:bottom w:val="single" w:sz="6" w:space="0" w:color="000000"/>
              <w:right w:val="single" w:sz="18" w:space="0" w:color="000000"/>
            </w:tcBorders>
            <w:shd w:color="auto" w:fill="D9D9D9" w:val="clear"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Times New Roman"/>
                <w:bCs/>
                <w:color w:val="auto"/>
                <w:kern w:val="0"/>
                <w:sz w:val="20"/>
                <w:szCs w:val="22"/>
                <w:lang w:val="fr-FR" w:eastAsia="fr-FR" w:bidi="ar-SA"/>
              </w:rPr>
            </w:r>
          </w:p>
        </w:tc>
      </w:tr>
      <w:tr>
        <w:trPr/>
        <w:tc>
          <w:tcPr>
            <w:tcW w:w="14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 w:val="96"/>
                <w:szCs w:val="96"/>
              </w:rPr>
            </w:pPr>
            <w:r>
              <w:rPr>
                <w:rFonts w:eastAsia="Wingdings" w:cs="Wingdings" w:ascii="Wingdings" w:hAnsi="Wingdings"/>
                <w:bCs/>
                <w:color w:val="auto"/>
                <w:kern w:val="0"/>
                <w:sz w:val="96"/>
                <w:szCs w:val="96"/>
                <w:lang w:val="fr-FR" w:eastAsia="fr-FR" w:bidi="ar-SA"/>
              </w:rPr>
              <w:sym w:font="Wingdings" w:char="f049"/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>
            <w:pPr>
              <w:pStyle w:val="ECEappel"/>
              <w:widowControl/>
              <w:spacing w:before="0" w:after="0"/>
              <w:rPr>
                <w:kern w:val="0"/>
                <w:sz w:val="20"/>
                <w:szCs w:val="20"/>
                <w:lang w:val="fr-FR" w:eastAsia="fr-FR" w:bidi="ar-SA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Appeler le professeur pour lui présenter les résultats expérimentaux</w:t>
            </w:r>
          </w:p>
          <w:p>
            <w:pPr>
              <w:pStyle w:val="ECEappel"/>
              <w:widowControl/>
              <w:spacing w:before="0" w:after="0"/>
              <w:rPr>
                <w:bCs/>
                <w:szCs w:val="22"/>
              </w:rPr>
            </w:pPr>
            <w:r>
              <w:rPr>
                <w:kern w:val="0"/>
                <w:sz w:val="20"/>
                <w:szCs w:val="20"/>
                <w:lang w:val="fr-FR" w:eastAsia="fr-FR" w:bidi="ar-SA"/>
              </w:rPr>
              <w:t>ou en cas de difficulté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Cs/>
                <w:color w:val="auto"/>
                <w:szCs w:val="22"/>
              </w:rPr>
            </w:pPr>
            <w:r>
              <w:rPr>
                <w:rFonts w:eastAsia="Wingdings" w:cs="Wingdings" w:ascii="Wingdings" w:hAnsi="Wingdings"/>
                <w:bCs/>
                <w:color w:val="auto"/>
                <w:kern w:val="0"/>
                <w:sz w:val="96"/>
                <w:szCs w:val="96"/>
                <w:lang w:val="fr-FR" w:eastAsia="fr-FR" w:bidi="ar-SA"/>
              </w:rPr>
              <w:sym w:font="Wingdings" w:char="f049"/>
            </w:r>
          </w:p>
        </w:tc>
      </w:tr>
    </w:tbl>
    <w:p>
      <w:pPr>
        <w:pStyle w:val="ECErponse"/>
        <w:rPr/>
      </w:pPr>
      <w:r>
        <w:rPr/>
      </w:r>
    </w:p>
    <w:p>
      <w:pPr>
        <w:pStyle w:val="ECErponse"/>
        <w:numPr>
          <w:ilvl w:val="1"/>
          <w:numId w:val="9"/>
        </w:numPr>
        <w:rPr/>
      </w:pPr>
      <w:r>
        <w:rPr/>
        <w:t xml:space="preserve">La valeur de référence du diamètre d’un brin de brosse à dents extra-souple est </w:t>
      </w:r>
      <w:r>
        <w:rPr>
          <w:i/>
        </w:rPr>
        <w:t>a</w:t>
      </w:r>
      <w:r>
        <w:rPr>
          <w:vertAlign w:val="subscript"/>
        </w:rPr>
        <w:t>réf</w:t>
      </w:r>
      <w:r>
        <w:rPr/>
        <w:t xml:space="preserve"> = 0,15 mm.</w:t>
      </w:r>
    </w:p>
    <w:p>
      <w:pPr>
        <w:pStyle w:val="ECErponse"/>
        <w:spacing w:before="120" w:after="0"/>
        <w:rPr/>
      </w:pPr>
      <w:r>
        <w:rPr/>
        <w:t xml:space="preserve">Déterminer si la mesure </w:t>
      </w:r>
      <w:r>
        <w:rPr>
          <w:i/>
          <w:iCs/>
        </w:rPr>
        <w:t>a</w:t>
      </w:r>
      <w:r>
        <w:rPr>
          <w:vertAlign w:val="subscript"/>
        </w:rPr>
        <w:t xml:space="preserve">brin </w:t>
      </w:r>
      <w:r>
        <w:rPr/>
        <w:t>obtenue expérimentalement peut correspondre au diamètre d’un brin de brosse à dents adaptée à l’usage quotidien chez l’enfant.</w:t>
      </w:r>
    </w:p>
    <w:p>
      <w:pPr>
        <w:pStyle w:val="ECErponse"/>
        <w:spacing w:lineRule="auto" w:line="360" w:before="120" w:after="0"/>
        <w:rPr/>
      </w:pPr>
      <w:r>
        <w:rPr/>
      </w:r>
    </w:p>
    <w:p>
      <w:pPr>
        <w:pStyle w:val="Lignehorizontale"/>
        <w:rPr/>
      </w:pPr>
      <w:r>
        <w:rPr/>
      </w:r>
    </w:p>
    <w:p>
      <w:pPr>
        <w:pStyle w:val="ECErponse"/>
        <w:spacing w:lineRule="auto" w:line="360" w:before="120" w:after="0"/>
        <w:rPr/>
      </w:pPr>
      <w:r>
        <w:rPr/>
        <w:tab/>
        <w:t xml:space="preserve">Il faut alors vérifier si votre résultat </w:t>
      </w:r>
      <w:r>
        <w:rPr/>
        <w:t xml:space="preserve">est </w:t>
      </w:r>
      <w:r>
        <w:rPr/>
        <w:t xml:space="preserve"> </w:t>
      </w:r>
      <w:r>
        <w:rPr>
          <w:i/>
          <w:iCs/>
        </w:rPr>
        <w:t>a</w:t>
      </w:r>
      <w:r>
        <w:rPr>
          <w:vertAlign w:val="subscript"/>
        </w:rPr>
        <w:t xml:space="preserve">brin </w:t>
      </w:r>
      <w:r>
        <w:rPr/>
        <w:t>est compatible avec 0,15mm avec le critère donné par l’énoncé.</w:t>
      </w:r>
    </w:p>
    <w:p>
      <w:pPr>
        <w:pStyle w:val="ECErponse"/>
        <w:spacing w:lineRule="auto" w:line="360" w:before="120" w:after="0"/>
        <w:rPr/>
      </w:pPr>
      <w:r>
        <w:rPr/>
        <w:tab/>
        <w:t xml:space="preserve">Cela revient à calculer </w:t>
      </w:r>
      <w:r>
        <w:rPr/>
      </w:r>
      <m:oMath xmlns:m="http://schemas.openxmlformats.org/officeDocument/2006/math">
        <m:f>
          <m:num>
            <m:d>
              <m:dPr>
                <m:begChr m:val="|"/>
                <m:endChr m:val="|"/>
              </m:dPr>
              <m:e>
                <m:sSub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a</m:t>
                    </m:r>
                  </m:e>
                  <m:sub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brin</m:t>
                    </m:r>
                  </m:sub>
                </m:s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–</m:t>
                </m:r>
                <m:sSub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 </m:t>
                    </m:r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a</m:t>
                    </m:r>
                  </m:e>
                  <m:sub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réf</m:t>
                    </m:r>
                  </m:sub>
                </m:sSub>
              </m:e>
            </m:d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u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(</m:t>
            </m:r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brin</m:t>
                </m:r>
              </m:sub>
            </m:sSub>
            <m:r>
              <m:rPr>
                <m:lit/>
                <m:nor/>
              </m:rPr>
              <w:rPr>
                <w:rFonts w:ascii="Cambria Math" w:hAnsi="Cambria Math"/>
              </w:rPr>
              <m:t xml:space="preserve">)</m:t>
            </m:r>
          </m:den>
        </m:f>
      </m:oMath>
      <w:r>
        <w:rPr/>
        <w:t xml:space="preserve"> qui doit être inférieur à 2 pour que le brosse soit adaptée à l’usage </w:t>
        <w:tab/>
        <w:t>chez l’enfant.</w:t>
      </w:r>
    </w:p>
    <w:p>
      <w:pPr>
        <w:pStyle w:val="Lignehorizontale"/>
        <w:rPr/>
      </w:pPr>
      <w:r>
        <w:rPr/>
      </w:r>
    </w:p>
    <w:p>
      <w:pPr>
        <w:pStyle w:val="ECErponse"/>
        <w:spacing w:lineRule="auto" w:line="360" w:before="120" w:after="0"/>
        <w:rPr/>
      </w:pPr>
      <w:bookmarkStart w:id="10" w:name="_Toc469923078"/>
      <w:bookmarkStart w:id="11" w:name="_Toc266361605"/>
      <w:bookmarkStart w:id="12" w:name="_Toc379291742"/>
      <w:r>
        <w:rPr>
          <w:b/>
        </w:rPr>
        <w:t>Défaire le montage et ranger la paillasse avant de quitter la salle.</w:t>
      </w:r>
      <w:bookmarkEnd w:id="10"/>
      <w:bookmarkEnd w:id="11"/>
      <w:bookmarkEnd w:id="12"/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851" w:right="851" w:gutter="0" w:header="851" w:top="908" w:footer="567" w:bottom="851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2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CEcorps"/>
      <w:jc w:val="right"/>
      <w:rPr/>
    </w:pPr>
    <w:r>
      <w:rPr/>
      <w:t xml:space="preserve">Page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  <w:r>
      <w:rPr/>
      <w:t xml:space="preserve"> sur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4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CEcorps"/>
      <w:jc w:val="right"/>
      <w:rPr/>
    </w:pPr>
    <w:r>
      <w:rPr/>
      <w:t xml:space="preserve">Page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  <w:r>
      <w:rPr/>
      <w:t xml:space="preserve"> sur </w:t>
    </w:r>
    <w:r>
      <w:rPr/>
      <w:fldChar w:fldCharType="begin"/>
    </w:r>
    <w:r>
      <w:rPr/>
      <w:instrText xml:space="preserve"> NUMPAGES </w:instrText>
    </w:r>
    <w:r>
      <w:rPr/>
      <w:fldChar w:fldCharType="separate"/>
    </w:r>
    <w:r>
      <w:rPr/>
      <w:t>4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CEcorps"/>
      <w:tabs>
        <w:tab w:val="clear" w:pos="709"/>
        <w:tab w:val="center" w:pos="851" w:leader="none"/>
        <w:tab w:val="center" w:pos="5103" w:leader="none"/>
        <w:tab w:val="center" w:pos="9498" w:leader="none"/>
      </w:tabs>
      <w:rPr/>
    </w:pPr>
    <w:r>
      <w:rPr/>
      <w:tab/>
      <w:t> </w:t>
      <w:tab/>
    </w:r>
    <w:r>
      <w:rPr>
        <w:b/>
        <w:sz w:val="24"/>
        <w:szCs w:val="24"/>
      </w:rPr>
      <w:t>UN BRIN TROP ÉPAIS ?</w:t>
    </w:r>
    <w:r>
      <w:rPr/>
      <w:tab/>
      <w:t>Session</w:t>
    </w:r>
  </w:p>
  <w:p>
    <w:pPr>
      <w:pStyle w:val="ECEcorps"/>
      <w:tabs>
        <w:tab w:val="clear" w:pos="709"/>
        <w:tab w:val="center" w:pos="851" w:leader="none"/>
        <w:tab w:val="center" w:pos="5103" w:leader="none"/>
        <w:tab w:val="center" w:pos="9498" w:leader="none"/>
      </w:tabs>
      <w:rPr/>
    </w:pPr>
    <w:r>
      <w:rPr/>
      <w:tab/>
      <w:tab/>
      <w:tab/>
      <w:t>2026</w:t>
    </w:r>
  </w:p>
  <w:p>
    <w:pPr>
      <w:pStyle w:val="ECEcorps"/>
      <w:tabs>
        <w:tab w:val="clear" w:pos="709"/>
        <w:tab w:val="center" w:pos="851" w:leader="none"/>
        <w:tab w:val="center" w:pos="5103" w:leader="none"/>
        <w:tab w:val="center" w:pos="9498" w:leader="none"/>
      </w:tabs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CEcorps"/>
      <w:tabs>
        <w:tab w:val="clear" w:pos="709"/>
        <w:tab w:val="center" w:pos="851" w:leader="none"/>
        <w:tab w:val="center" w:pos="5103" w:leader="none"/>
        <w:tab w:val="center" w:pos="9498" w:leader="none"/>
      </w:tabs>
      <w:rPr/>
    </w:pPr>
    <w:r>
      <w:rPr/>
      <w:tab/>
      <w:t> </w:t>
      <w:tab/>
    </w:r>
    <w:r>
      <w:rPr>
        <w:b/>
        <w:sz w:val="24"/>
        <w:szCs w:val="24"/>
      </w:rPr>
      <w:t>UN BRIN TROP ÉPAIS ?</w:t>
    </w:r>
    <w:r>
      <w:rPr/>
      <w:tab/>
      <w:t>Session</w:t>
    </w:r>
  </w:p>
  <w:p>
    <w:pPr>
      <w:pStyle w:val="ECEcorps"/>
      <w:tabs>
        <w:tab w:val="clear" w:pos="709"/>
        <w:tab w:val="center" w:pos="851" w:leader="none"/>
        <w:tab w:val="center" w:pos="5103" w:leader="none"/>
        <w:tab w:val="center" w:pos="9498" w:leader="none"/>
      </w:tabs>
      <w:rPr/>
    </w:pPr>
    <w:r>
      <w:rPr/>
      <w:tab/>
      <w:tab/>
      <w:tab/>
      <w:t>2026</w:t>
    </w:r>
  </w:p>
  <w:p>
    <w:pPr>
      <w:pStyle w:val="ECEcorps"/>
      <w:tabs>
        <w:tab w:val="clear" w:pos="709"/>
        <w:tab w:val="center" w:pos="851" w:leader="none"/>
        <w:tab w:val="center" w:pos="5103" w:leader="none"/>
        <w:tab w:val="center" w:pos="9498" w:leader="none"/>
      </w:tabs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upperRoman"/>
      <w:suff w:val="space"/>
      <w:lvlText w:val="%1."/>
      <w:lvlJc w:val="center"/>
      <w:pPr>
        <w:tabs>
          <w:tab w:val="num" w:pos="0"/>
        </w:tabs>
        <w:ind w:left="0" w:hanging="0"/>
      </w:pPr>
      <w:rPr/>
    </w:lvl>
    <w:lvl w:ilvl="1">
      <w:start w:val="1"/>
      <w:pStyle w:val="Heading2"/>
      <w:numFmt w:val="decimal"/>
      <w:suff w:val="space"/>
      <w:lvlText w:val="%2."/>
      <w:lvlJc w:val="left"/>
      <w:pPr>
        <w:tabs>
          <w:tab w:val="num" w:pos="0"/>
        </w:tabs>
        <w:ind w:left="567" w:hanging="567"/>
      </w:pPr>
      <w:rPr/>
    </w:lvl>
    <w:lvl w:ilvl="2">
      <w:start w:val="1"/>
      <w:pStyle w:val="Heading3"/>
      <w:numFmt w:val="decimal"/>
      <w:suff w:val="space"/>
      <w:lvlText w:val="%2.%3."/>
      <w:lvlJc w:val="left"/>
      <w:pPr>
        <w:tabs>
          <w:tab w:val="num" w:pos="0"/>
        </w:tabs>
        <w:ind w:left="1418" w:hanging="850"/>
      </w:pPr>
      <w:rPr/>
    </w:lvl>
    <w:lvl w:ilvl="3">
      <w:start w:val="1"/>
      <w:pStyle w:val="Heading4"/>
      <w:numFmt w:val="decimal"/>
      <w:suff w:val="space"/>
      <w:lvlText w:val="%2.%3.%4."/>
      <w:lvlJc w:val="left"/>
      <w:pPr>
        <w:tabs>
          <w:tab w:val="num" w:pos="0"/>
        </w:tabs>
        <w:ind w:left="2211" w:hanging="1131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2"/>
      <w:isLgl/>
      <w:numFmt w:val="decimal"/>
      <w:lvlText w:val="%1.%2"/>
      <w:lvlJc w:val="left"/>
      <w:pPr>
        <w:tabs>
          <w:tab w:val="num" w:pos="0"/>
        </w:tabs>
        <w:ind w:left="360" w:hanging="360"/>
      </w:pPr>
      <w:rPr/>
    </w:lvl>
    <w:lvl w:ilvl="2">
      <w:start w:val="1"/>
      <w:isLgl/>
      <w:numFmt w:val="decimal"/>
      <w:lvlText w:val="%1.%2.%3"/>
      <w:lvlJc w:val="left"/>
      <w:pPr>
        <w:tabs>
          <w:tab w:val="num" w:pos="0"/>
        </w:tabs>
        <w:ind w:left="720" w:hanging="720"/>
      </w:pPr>
      <w:rPr/>
    </w:lvl>
    <w:lvl w:ilvl="3">
      <w:start w:val="1"/>
      <w:isLgl/>
      <w:numFmt w:val="decimal"/>
      <w:lvlText w:val="%1.%2.%3.%4"/>
      <w:lvlJc w:val="left"/>
      <w:pPr>
        <w:tabs>
          <w:tab w:val="num" w:pos="0"/>
        </w:tabs>
        <w:ind w:left="720" w:hanging="720"/>
      </w:pPr>
      <w:rPr/>
    </w:lvl>
    <w:lvl w:ilvl="4">
      <w:start w:val="1"/>
      <w:isLgl/>
      <w:numFmt w:val="decimal"/>
      <w:lvlText w:val="%1.%2.%3.%4.%5"/>
      <w:lvlJc w:val="left"/>
      <w:pPr>
        <w:tabs>
          <w:tab w:val="num" w:pos="0"/>
        </w:tabs>
        <w:ind w:left="1080" w:hanging="1080"/>
      </w:pPr>
      <w:rPr/>
    </w:lvl>
    <w:lvl w:ilvl="5">
      <w:start w:val="1"/>
      <w:isLgl/>
      <w:numFmt w:val="decimal"/>
      <w:lvlText w:val="%1.%2.%3.%4.%5.%6"/>
      <w:lvlJc w:val="left"/>
      <w:pPr>
        <w:tabs>
          <w:tab w:val="num" w:pos="0"/>
        </w:tabs>
        <w:ind w:left="1080" w:hanging="1080"/>
      </w:pPr>
      <w:rPr/>
    </w:lvl>
    <w:lvl w:ilvl="6">
      <w:start w:val="1"/>
      <w:isLgl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/>
    </w:lvl>
    <w:lvl w:ilvl="7">
      <w:start w:val="1"/>
      <w:isLgl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isLgl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/>
    </w:lvl>
  </w:abstractNum>
  <w:abstractNum w:abstractNumId="4">
    <w:lvl w:ilvl="0"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/>
    </w:lvl>
  </w:abstractNum>
  <w:abstractNum w:abstractNumId="9"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60"/>
  <w:embedSystemFonts/>
  <w:defaultTabStop w:val="709"/>
  <w:autoHyphenation w:val="true"/>
  <w:compat>
    <w:compatSetting w:name="compatibilityMode" w:uri="http://schemas.microsoft.com/office/word" w:val="12"/>
  </w:compat>
  <w:themeFontLang w:val="fr-F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 w:semiHidden="1" w:unhideWhenUsed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56dd6"/>
    <w:pPr>
      <w:widowControl/>
      <w:bidi w:val="0"/>
      <w:spacing w:lineRule="auto" w:line="264" w:before="0" w:after="0"/>
      <w:jc w:val="both"/>
    </w:pPr>
    <w:rPr>
      <w:rFonts w:ascii="Arial" w:hAnsi="Arial" w:cs="Arial" w:eastAsia="Times New Roman"/>
      <w:color w:val="000000"/>
      <w:kern w:val="0"/>
      <w:sz w:val="20"/>
      <w:szCs w:val="20"/>
      <w:lang w:val="fr-FR" w:eastAsia="fr-FR" w:bidi="ar-SA"/>
    </w:rPr>
  </w:style>
  <w:style w:type="paragraph" w:styleId="Heading1">
    <w:name w:val="Heading 1"/>
    <w:basedOn w:val="Normal"/>
    <w:next w:val="Normal"/>
    <w:qFormat/>
    <w:rsid w:val="00d9409b"/>
    <w:pPr>
      <w:numPr>
        <w:ilvl w:val="0"/>
        <w:numId w:val="1"/>
      </w:numPr>
      <w:pBdr>
        <w:top w:val="single" w:sz="12" w:space="1" w:color="000000"/>
        <w:left w:val="single" w:sz="12" w:space="1" w:color="000000"/>
        <w:bottom w:val="single" w:sz="12" w:space="1" w:color="000000"/>
        <w:right w:val="single" w:sz="12" w:space="1" w:color="000000"/>
      </w:pBdr>
      <w:shd w:val="pct15" w:color="auto" w:fill="FFFFFF"/>
      <w:tabs>
        <w:tab w:val="clear" w:pos="709"/>
        <w:tab w:val="left" w:pos="-1985" w:leader="none"/>
        <w:tab w:val="left" w:pos="567" w:leader="none"/>
      </w:tabs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Titre2Car"/>
    <w:qFormat/>
    <w:rsid w:val="00207c64"/>
    <w:pPr>
      <w:keepNext w:val="true"/>
      <w:numPr>
        <w:ilvl w:val="1"/>
        <w:numId w:val="1"/>
      </w:numPr>
      <w:outlineLvl w:val="1"/>
    </w:pPr>
    <w:rPr>
      <w:b/>
    </w:rPr>
  </w:style>
  <w:style w:type="paragraph" w:styleId="Heading3">
    <w:name w:val="Heading 3"/>
    <w:basedOn w:val="Normal"/>
    <w:next w:val="Heading4"/>
    <w:qFormat/>
    <w:rsid w:val="00125fb0"/>
    <w:pPr>
      <w:keepNext w:val="true"/>
      <w:numPr>
        <w:ilvl w:val="2"/>
        <w:numId w:val="1"/>
      </w:numPr>
      <w:outlineLvl w:val="2"/>
    </w:pPr>
    <w:rPr/>
  </w:style>
  <w:style w:type="paragraph" w:styleId="Heading4">
    <w:name w:val="Heading 4"/>
    <w:basedOn w:val="Normal"/>
    <w:next w:val="Normal"/>
    <w:autoRedefine/>
    <w:qFormat/>
    <w:rsid w:val="00354ebd"/>
    <w:pPr>
      <w:numPr>
        <w:ilvl w:val="3"/>
        <w:numId w:val="1"/>
      </w:numPr>
      <w:outlineLvl w:val="3"/>
    </w:pPr>
    <w:rPr/>
  </w:style>
  <w:style w:type="paragraph" w:styleId="Heading5">
    <w:name w:val="Heading 5"/>
    <w:basedOn w:val="Normal"/>
    <w:next w:val="Normal"/>
    <w:qFormat/>
    <w:rsid w:val="001d6c11"/>
    <w:pPr>
      <w:keepNext w:val="true"/>
      <w:tabs>
        <w:tab w:val="clear" w:pos="709"/>
        <w:tab w:val="left" w:pos="-1985" w:leader="none"/>
      </w:tabs>
      <w:outlineLvl w:val="4"/>
    </w:pPr>
    <w:rPr>
      <w:rFonts w:ascii="Garamond" w:hAnsi="Garamond"/>
      <w:b/>
      <w:bCs/>
    </w:rPr>
  </w:style>
  <w:style w:type="paragraph" w:styleId="Heading6">
    <w:name w:val="Heading 6"/>
    <w:basedOn w:val="Normal"/>
    <w:next w:val="Normal"/>
    <w:qFormat/>
    <w:rsid w:val="001d6c11"/>
    <w:pPr>
      <w:keepNext w:val="true"/>
      <w:ind w:right="-2472"/>
      <w:outlineLvl w:val="5"/>
    </w:pPr>
    <w:rPr>
      <w:i/>
      <w:color w:val="FF0000"/>
    </w:rPr>
  </w:style>
  <w:style w:type="paragraph" w:styleId="Heading7">
    <w:name w:val="Heading 7"/>
    <w:basedOn w:val="Normal"/>
    <w:next w:val="Normal"/>
    <w:qFormat/>
    <w:rsid w:val="001d6c11"/>
    <w:pPr>
      <w:keepNext w:val="true"/>
      <w:tabs>
        <w:tab w:val="clear" w:pos="709"/>
        <w:tab w:val="left" w:pos="-1985" w:leader="none"/>
      </w:tabs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next w:val="Normal"/>
    <w:qFormat/>
    <w:rsid w:val="001d6c11"/>
    <w:pPr>
      <w:keepNext w:val="true"/>
      <w:tabs>
        <w:tab w:val="clear" w:pos="709"/>
        <w:tab w:val="left" w:pos="-1985" w:leader="none"/>
      </w:tabs>
      <w:ind w:left="-567" w:right="-483"/>
      <w:outlineLvl w:val="7"/>
    </w:pPr>
    <w:rPr>
      <w:b/>
      <w:bCs/>
      <w:sz w:val="28"/>
      <w:szCs w:val="28"/>
    </w:rPr>
  </w:style>
  <w:style w:type="paragraph" w:styleId="Heading9">
    <w:name w:val="Heading 9"/>
    <w:basedOn w:val="Normal"/>
    <w:next w:val="Normal"/>
    <w:qFormat/>
    <w:rsid w:val="001d6c11"/>
    <w:pPr>
      <w:keepNext w:val="true"/>
      <w:outlineLvl w:val="8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semiHidden/>
    <w:qFormat/>
    <w:rsid w:val="001d6c11"/>
    <w:rPr>
      <w:sz w:val="16"/>
      <w:szCs w:val="16"/>
    </w:rPr>
  </w:style>
  <w:style w:type="character" w:styleId="Titre2Car" w:customStyle="1">
    <w:name w:val="Titre 2 Car"/>
    <w:qFormat/>
    <w:rsid w:val="00bf76ac"/>
    <w:rPr>
      <w:rFonts w:ascii="Arial" w:hAnsi="Arial" w:cs="Arial"/>
      <w:b/>
      <w:color w:val="000000"/>
    </w:rPr>
  </w:style>
  <w:style w:type="character" w:styleId="apple-converted-space" w:customStyle="1">
    <w:name w:val="apple-converted-space"/>
    <w:basedOn w:val="DefaultParagraphFont"/>
    <w:qFormat/>
    <w:rsid w:val="005b5bd7"/>
    <w:rPr/>
  </w:style>
  <w:style w:type="character" w:styleId="Strong">
    <w:name w:val="Strong"/>
    <w:basedOn w:val="DefaultParagraphFont"/>
    <w:uiPriority w:val="22"/>
    <w:qFormat/>
    <w:rsid w:val="005b5bd7"/>
    <w:rPr>
      <w:b/>
      <w:bCs/>
    </w:rPr>
  </w:style>
  <w:style w:type="character" w:styleId="PlaceholderText">
    <w:name w:val="Placeholder Text"/>
    <w:basedOn w:val="DefaultParagraphFont"/>
    <w:uiPriority w:val="99"/>
    <w:semiHidden/>
    <w:qFormat/>
    <w:rsid w:val="001224fa"/>
    <w:rPr>
      <w:color w:val="666666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CErepres" w:customStyle="1">
    <w:name w:val="ECErepères"/>
    <w:basedOn w:val="ECEcorps"/>
    <w:qFormat/>
    <w:rsid w:val="00197f7d"/>
    <w:pPr>
      <w:jc w:val="center"/>
    </w:pPr>
    <w:rPr>
      <w:sz w:val="18"/>
      <w:szCs w:val="18"/>
    </w:rPr>
  </w:style>
  <w:style w:type="paragraph" w:styleId="ECEappel" w:customStyle="1">
    <w:name w:val="ECEappel"/>
    <w:basedOn w:val="ECEcorps"/>
    <w:qFormat/>
    <w:rsid w:val="00fb14e2"/>
    <w:pPr>
      <w:jc w:val="center"/>
    </w:pPr>
    <w:rPr>
      <w:rFonts w:eastAsia="Arial Unicode MS"/>
      <w:b/>
    </w:rPr>
  </w:style>
  <w:style w:type="paragraph" w:styleId="NormalIndent">
    <w:name w:val="Normal Indent"/>
    <w:basedOn w:val="Normal"/>
    <w:qFormat/>
    <w:rsid w:val="001d6c11"/>
    <w:pPr>
      <w:tabs>
        <w:tab w:val="clear" w:pos="709"/>
        <w:tab w:val="left" w:pos="-1985" w:leader="none"/>
      </w:tabs>
      <w:ind w:left="708"/>
    </w:pPr>
    <w:rPr/>
  </w:style>
  <w:style w:type="paragraph" w:styleId="En-tteetpieddepage">
    <w:name w:val="En-tête et pied de page"/>
    <w:basedOn w:val="Normal"/>
    <w:qFormat/>
    <w:pPr/>
    <w:rPr/>
  </w:style>
  <w:style w:type="paragraph" w:styleId="Footer">
    <w:name w:val="Footer"/>
    <w:basedOn w:val="Normal"/>
    <w:rsid w:val="001d6c11"/>
    <w:pPr>
      <w:tabs>
        <w:tab w:val="clear" w:pos="709"/>
        <w:tab w:val="left" w:pos="-1985" w:leader="none"/>
        <w:tab w:val="center" w:pos="4536" w:leader="none"/>
        <w:tab w:val="right" w:pos="9072" w:leader="none"/>
      </w:tabs>
    </w:pPr>
    <w:rPr>
      <w:sz w:val="22"/>
      <w:szCs w:val="22"/>
    </w:rPr>
  </w:style>
  <w:style w:type="paragraph" w:styleId="remarque" w:customStyle="1">
    <w:name w:val="remarque"/>
    <w:basedOn w:val="Normal"/>
    <w:qFormat/>
    <w:rsid w:val="001d6c11"/>
    <w:pPr>
      <w:tabs>
        <w:tab w:val="clear" w:pos="709"/>
        <w:tab w:val="left" w:pos="-1985" w:leader="none"/>
      </w:tabs>
    </w:pPr>
    <w:rPr>
      <w:b/>
      <w:bCs/>
    </w:rPr>
  </w:style>
  <w:style w:type="paragraph" w:styleId="BodyTextIndented">
    <w:name w:val="Body Text, Indented"/>
    <w:basedOn w:val="Normal"/>
    <w:qFormat/>
    <w:rsid w:val="001d6c11"/>
    <w:pPr>
      <w:tabs>
        <w:tab w:val="clear" w:pos="709"/>
        <w:tab w:val="left" w:pos="-1985" w:leader="none"/>
      </w:tabs>
      <w:ind w:firstLine="426"/>
    </w:pPr>
    <w:rPr>
      <w:sz w:val="22"/>
      <w:szCs w:val="22"/>
    </w:rPr>
  </w:style>
  <w:style w:type="paragraph" w:styleId="Header">
    <w:name w:val="Header"/>
    <w:basedOn w:val="Normal"/>
    <w:rsid w:val="001d6c11"/>
    <w:pPr>
      <w:tabs>
        <w:tab w:val="clear" w:pos="709"/>
        <w:tab w:val="left" w:pos="-1985" w:leader="none"/>
        <w:tab w:val="center" w:pos="4536" w:leader="none"/>
        <w:tab w:val="right" w:pos="9072" w:leader="none"/>
      </w:tabs>
    </w:pPr>
    <w:rPr/>
  </w:style>
  <w:style w:type="paragraph" w:styleId="FootnoteText">
    <w:name w:val="Footnote Text"/>
    <w:basedOn w:val="Normal"/>
    <w:semiHidden/>
    <w:rsid w:val="001d6c11"/>
    <w:pPr/>
    <w:rPr/>
  </w:style>
  <w:style w:type="paragraph" w:styleId="Subtitle">
    <w:name w:val="Subtitle"/>
    <w:basedOn w:val="Normal"/>
    <w:qFormat/>
    <w:rsid w:val="001d6c11"/>
    <w:pPr>
      <w:jc w:val="center"/>
    </w:pPr>
    <w:rPr>
      <w:b/>
      <w:i/>
      <w:sz w:val="28"/>
    </w:rPr>
  </w:style>
  <w:style w:type="paragraph" w:styleId="AnnotationText">
    <w:name w:val="Annotation Text"/>
    <w:basedOn w:val="Normal"/>
    <w:semiHidden/>
    <w:rsid w:val="001d6c11"/>
    <w:pPr/>
    <w:rPr/>
  </w:style>
  <w:style w:type="paragraph" w:styleId="annotationsubject">
    <w:name w:val="annotation subject"/>
    <w:basedOn w:val="AnnotationText"/>
    <w:next w:val="AnnotationText"/>
    <w:semiHidden/>
    <w:qFormat/>
    <w:rsid w:val="001d6c11"/>
    <w:pPr/>
    <w:rPr>
      <w:b/>
      <w:bCs/>
    </w:rPr>
  </w:style>
  <w:style w:type="paragraph" w:styleId="BalloonText">
    <w:name w:val="Balloon Text"/>
    <w:basedOn w:val="Normal"/>
    <w:qFormat/>
    <w:rsid w:val="001d6c11"/>
    <w:pPr/>
    <w:rPr>
      <w:rFonts w:ascii="Tahoma" w:hAnsi="Tahoma" w:cs="Tahoma"/>
      <w:sz w:val="16"/>
      <w:szCs w:val="16"/>
    </w:rPr>
  </w:style>
  <w:style w:type="paragraph" w:styleId="TOC1">
    <w:name w:val="TOC 1"/>
    <w:basedOn w:val="ECEcorps"/>
    <w:next w:val="Normal"/>
    <w:uiPriority w:val="39"/>
    <w:qFormat/>
    <w:rsid w:val="00ca6fd0"/>
    <w:pPr>
      <w:tabs>
        <w:tab w:val="clear" w:pos="709"/>
        <w:tab w:val="left" w:pos="284" w:leader="none"/>
        <w:tab w:val="right" w:pos="9628" w:leader="dot"/>
      </w:tabs>
    </w:pPr>
    <w:rPr/>
  </w:style>
  <w:style w:type="paragraph" w:styleId="TOC2">
    <w:name w:val="TOC 2"/>
    <w:basedOn w:val="Normal"/>
    <w:next w:val="Normal"/>
    <w:uiPriority w:val="39"/>
    <w:unhideWhenUsed/>
    <w:qFormat/>
    <w:rsid w:val="00910b6f"/>
    <w:pPr>
      <w:tabs>
        <w:tab w:val="clear" w:pos="709"/>
        <w:tab w:val="right" w:pos="9628" w:leader="dot"/>
      </w:tabs>
      <w:spacing w:lineRule="auto" w:line="276" w:before="0" w:after="100"/>
      <w:ind w:left="221"/>
    </w:pPr>
    <w:rPr>
      <w:color w:val="auto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20f44"/>
    <w:pPr>
      <w:tabs>
        <w:tab w:val="clear" w:pos="709"/>
        <w:tab w:val="right" w:pos="9628" w:leader="dot"/>
      </w:tabs>
      <w:spacing w:lineRule="auto" w:line="276" w:before="0" w:after="100"/>
      <w:ind w:left="442"/>
    </w:pPr>
    <w:rPr>
      <w:rFonts w:ascii="Calibri" w:hAnsi="Calibri" w:cs="Times New Roman"/>
      <w:color w:val="auto"/>
      <w:sz w:val="22"/>
      <w:szCs w:val="22"/>
      <w:lang w:eastAsia="en-US"/>
    </w:rPr>
  </w:style>
  <w:style w:type="paragraph" w:styleId="StyleGrasCentrMotifTransparenteArrire-plan2" w:customStyle="1">
    <w:name w:val="Style Gras Centré Motif : Transparente (Arrière-plan 2)"/>
    <w:basedOn w:val="Normal"/>
    <w:qFormat/>
    <w:rsid w:val="00b97eb7"/>
    <w:pPr>
      <w:shd w:val="clear" w:color="auto" w:fill="EEECE1"/>
      <w:jc w:val="center"/>
    </w:pPr>
    <w:rPr>
      <w:rFonts w:cs="Times New Roman"/>
      <w:b/>
      <w:bCs/>
    </w:rPr>
  </w:style>
  <w:style w:type="paragraph" w:styleId="Default" w:customStyle="1">
    <w:name w:val="Default"/>
    <w:uiPriority w:val="99"/>
    <w:qFormat/>
    <w:rsid w:val="00bf76ac"/>
    <w:pPr>
      <w:widowControl/>
      <w:bidi w:val="0"/>
      <w:spacing w:before="0" w:after="0"/>
      <w:jc w:val="left"/>
    </w:pPr>
    <w:rPr>
      <w:rFonts w:ascii="Calibri" w:hAnsi="Calibri" w:eastAsia="MS ??" w:cs="Calibri"/>
      <w:color w:val="000000"/>
      <w:kern w:val="0"/>
      <w:sz w:val="24"/>
      <w:szCs w:val="24"/>
      <w:lang w:val="fr-FR" w:eastAsia="fr-FR" w:bidi="ar-SA"/>
    </w:rPr>
  </w:style>
  <w:style w:type="paragraph" w:styleId="ECEcorps" w:customStyle="1">
    <w:name w:val="ECEcorps"/>
    <w:qFormat/>
    <w:rsid w:val="00c06213"/>
    <w:pPr>
      <w:widowControl/>
      <w:bidi w:val="0"/>
      <w:spacing w:lineRule="auto" w:line="264" w:before="0" w:after="0"/>
      <w:jc w:val="both"/>
    </w:pPr>
    <w:rPr>
      <w:rFonts w:ascii="Arial" w:hAnsi="Arial" w:cs="Arial" w:eastAsia="Times New Roman"/>
      <w:color w:val="auto"/>
      <w:kern w:val="0"/>
      <w:sz w:val="20"/>
      <w:szCs w:val="20"/>
      <w:lang w:val="fr-FR" w:eastAsia="fr-FR" w:bidi="ar-SA"/>
    </w:rPr>
  </w:style>
  <w:style w:type="paragraph" w:styleId="ECEtitre" w:customStyle="1">
    <w:name w:val="ECEtitre"/>
    <w:basedOn w:val="ECEcorps"/>
    <w:next w:val="ECEcorps"/>
    <w:qFormat/>
    <w:rsid w:val="00e2460e"/>
    <w:pPr/>
    <w:rPr>
      <w:b/>
      <w:u w:val="single"/>
    </w:rPr>
  </w:style>
  <w:style w:type="paragraph" w:styleId="ECEfiche" w:customStyle="1">
    <w:name w:val="ECEfiche"/>
    <w:basedOn w:val="Heading1"/>
    <w:next w:val="ECEcorps"/>
    <w:qFormat/>
    <w:rsid w:val="00a12834"/>
    <w:pPr>
      <w:numPr>
        <w:ilvl w:val="0"/>
        <w:numId w:val="0"/>
      </w:numPr>
    </w:pPr>
    <w:rPr>
      <w:b w:val="false"/>
    </w:rPr>
  </w:style>
  <w:style w:type="paragraph" w:styleId="ECErponse" w:customStyle="1">
    <w:name w:val="ECEréponse"/>
    <w:basedOn w:val="ECEcorps"/>
    <w:qFormat/>
    <w:rsid w:val="00c22a4c"/>
    <w:pPr>
      <w:spacing w:lineRule="auto" w:line="240" w:before="240" w:after="0"/>
    </w:pPr>
    <w:rPr>
      <w:bCs/>
      <w:szCs w:val="22"/>
    </w:rPr>
  </w:style>
  <w:style w:type="paragraph" w:styleId="ECEpartie" w:customStyle="1">
    <w:name w:val="ECEpartie"/>
    <w:basedOn w:val="ECEcorps"/>
    <w:next w:val="ECEcorps"/>
    <w:qFormat/>
    <w:rsid w:val="00452138"/>
    <w:pPr>
      <w:numPr>
        <w:ilvl w:val="0"/>
        <w:numId w:val="3"/>
      </w:numPr>
    </w:pPr>
    <w:rPr>
      <w:b/>
    </w:rPr>
  </w:style>
  <w:style w:type="paragraph" w:styleId="ECEcoeff" w:customStyle="1">
    <w:name w:val="ECEcoeff"/>
    <w:basedOn w:val="ECEcorps"/>
    <w:next w:val="ECEcorps"/>
    <w:qFormat/>
    <w:rsid w:val="0003345d"/>
    <w:pPr/>
    <w:rPr>
      <w:b/>
      <w:sz w:val="22"/>
      <w:szCs w:val="22"/>
    </w:rPr>
  </w:style>
  <w:style w:type="paragraph" w:styleId="ECEbordure" w:customStyle="1">
    <w:name w:val="ECEbordure"/>
    <w:basedOn w:val="ECEcorps"/>
    <w:qFormat/>
    <w:rsid w:val="00180bb9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ind w:left="284" w:right="281"/>
    </w:pPr>
    <w:rPr/>
  </w:style>
  <w:style w:type="paragraph" w:styleId="ECEsommaire" w:customStyle="1">
    <w:name w:val="ECEsommaire"/>
    <w:basedOn w:val="ECEcorps"/>
    <w:qFormat/>
    <w:rsid w:val="0060508c"/>
    <w:pPr>
      <w:jc w:val="center"/>
    </w:pPr>
    <w:rPr>
      <w:b/>
      <w:sz w:val="24"/>
      <w:szCs w:val="24"/>
    </w:rPr>
  </w:style>
  <w:style w:type="paragraph" w:styleId="ECEpuce1" w:customStyle="1">
    <w:name w:val="ECEpuce1"/>
    <w:basedOn w:val="ECEcorps"/>
    <w:qFormat/>
    <w:rsid w:val="0060508c"/>
    <w:pPr>
      <w:numPr>
        <w:ilvl w:val="0"/>
        <w:numId w:val="2"/>
      </w:numPr>
    </w:pPr>
    <w:rPr>
      <w:rFonts w:eastAsia="Arial Unicode MS"/>
      <w:bCs/>
      <w:iCs/>
    </w:rPr>
  </w:style>
  <w:style w:type="paragraph" w:styleId="ECEpuce2" w:customStyle="1">
    <w:name w:val="ECEpuce2"/>
    <w:basedOn w:val="ECEcorps"/>
    <w:qFormat/>
    <w:rsid w:val="0060508c"/>
    <w:pPr>
      <w:numPr>
        <w:ilvl w:val="2"/>
        <w:numId w:val="2"/>
      </w:numPr>
      <w:ind w:hanging="357" w:left="1491"/>
    </w:pPr>
    <w:rPr>
      <w:rFonts w:eastAsia="Arial Unicode MS"/>
      <w:bCs/>
      <w:iCs/>
    </w:rPr>
  </w:style>
  <w:style w:type="paragraph" w:styleId="TOC4">
    <w:name w:val="TOC 4"/>
    <w:basedOn w:val="Normal"/>
    <w:next w:val="Normal"/>
    <w:autoRedefine/>
    <w:uiPriority w:val="39"/>
    <w:unhideWhenUsed/>
    <w:rsid w:val="00943326"/>
    <w:pPr>
      <w:ind w:left="600"/>
    </w:pPr>
    <w:rPr/>
  </w:style>
  <w:style w:type="paragraph" w:styleId="TOC5">
    <w:name w:val="TOC 5"/>
    <w:basedOn w:val="Normal"/>
    <w:next w:val="Normal"/>
    <w:autoRedefine/>
    <w:uiPriority w:val="39"/>
    <w:unhideWhenUsed/>
    <w:rsid w:val="00943326"/>
    <w:pPr>
      <w:ind w:left="800"/>
    </w:pPr>
    <w:rPr/>
  </w:style>
  <w:style w:type="paragraph" w:styleId="TOC6">
    <w:name w:val="TOC 6"/>
    <w:basedOn w:val="Normal"/>
    <w:next w:val="Normal"/>
    <w:autoRedefine/>
    <w:uiPriority w:val="39"/>
    <w:unhideWhenUsed/>
    <w:rsid w:val="00943326"/>
    <w:pPr>
      <w:ind w:left="1000"/>
    </w:pPr>
    <w:rPr/>
  </w:style>
  <w:style w:type="paragraph" w:styleId="TOC7">
    <w:name w:val="TOC 7"/>
    <w:basedOn w:val="Normal"/>
    <w:next w:val="Normal"/>
    <w:autoRedefine/>
    <w:uiPriority w:val="39"/>
    <w:unhideWhenUsed/>
    <w:rsid w:val="00943326"/>
    <w:pPr>
      <w:ind w:left="1200"/>
    </w:pPr>
    <w:rPr/>
  </w:style>
  <w:style w:type="paragraph" w:styleId="TOC8">
    <w:name w:val="TOC 8"/>
    <w:basedOn w:val="Normal"/>
    <w:next w:val="Normal"/>
    <w:autoRedefine/>
    <w:uiPriority w:val="39"/>
    <w:unhideWhenUsed/>
    <w:rsid w:val="00943326"/>
    <w:pPr>
      <w:ind w:left="1400"/>
    </w:pPr>
    <w:rPr/>
  </w:style>
  <w:style w:type="paragraph" w:styleId="TOC9">
    <w:name w:val="TOC 9"/>
    <w:basedOn w:val="Normal"/>
    <w:next w:val="Normal"/>
    <w:autoRedefine/>
    <w:uiPriority w:val="39"/>
    <w:unhideWhenUsed/>
    <w:rsid w:val="00943326"/>
    <w:pPr>
      <w:ind w:left="1600"/>
    </w:pPr>
    <w:rPr/>
  </w:style>
  <w:style w:type="paragraph" w:styleId="NormalWeb">
    <w:name w:val="Normal (Web)"/>
    <w:basedOn w:val="Normal"/>
    <w:uiPriority w:val="99"/>
    <w:semiHidden/>
    <w:unhideWhenUsed/>
    <w:qFormat/>
    <w:rsid w:val="005b5bd7"/>
    <w:pPr>
      <w:spacing w:lineRule="auto" w:line="240" w:beforeAutospacing="1" w:afterAutospacing="1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72"/>
    <w:qFormat/>
    <w:rsid w:val="001c19fb"/>
    <w:pPr>
      <w:spacing w:before="0" w:after="0"/>
      <w:ind w:left="720"/>
      <w:contextualSpacing/>
    </w:pPr>
    <w:rPr/>
  </w:style>
  <w:style w:type="paragraph" w:styleId="Lignehorizontale">
    <w:name w:val="Ligne horizontale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3a042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glossaryDocument" Target="glossary/document.xml"/><Relationship Id="rId15" Type="http://schemas.openxmlformats.org/officeDocument/2006/relationships/customXml" Target="../customXml/item1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2098659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74384-16CC-7440-97AD-E38F0183F01D}"/>
      </w:docPartPr>
      <w:docPartBody>
        <w:p w:rsidR="00410C37" w:rsidRDefault="00300124">
          <w:r w:rsidRPr="007B6883">
            <w:rPr>
              <w:rStyle w:val="Textedelespacerserv"/>
            </w:rPr>
            <w:t>Tapez une équation ici.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00124"/>
    <w:rsid w:val="0008039C"/>
    <w:rsid w:val="000D731F"/>
    <w:rsid w:val="00287A1E"/>
    <w:rsid w:val="00290C06"/>
    <w:rsid w:val="00300124"/>
    <w:rsid w:val="0037588D"/>
    <w:rsid w:val="003A2325"/>
    <w:rsid w:val="003C5EEC"/>
    <w:rsid w:val="003D5580"/>
    <w:rsid w:val="00410C37"/>
    <w:rsid w:val="00480702"/>
    <w:rsid w:val="004D3C5A"/>
    <w:rsid w:val="00525D23"/>
    <w:rsid w:val="00540D3E"/>
    <w:rsid w:val="00557891"/>
    <w:rsid w:val="005A5793"/>
    <w:rsid w:val="00691412"/>
    <w:rsid w:val="009D36F6"/>
    <w:rsid w:val="00AD3932"/>
    <w:rsid w:val="00AF1A56"/>
    <w:rsid w:val="00AF680D"/>
    <w:rsid w:val="00BC1A3B"/>
    <w:rsid w:val="00DC0250"/>
    <w:rsid w:val="00EE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8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0012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7CCA31-1C20-423C-A1F3-4B32DDD0C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2015 05</Template>
  <TotalTime>48</TotalTime>
  <Application>LibreOffice/24.2.4.2$Windows_X86_64 LibreOffice_project/51a6219feb6075d9a4c46691dcfe0cd9c4fff3c2</Application>
  <AppVersion>15.0000</AppVersion>
  <Pages>4</Pages>
  <Words>990</Words>
  <Characters>5040</Characters>
  <CharactersWithSpaces>5974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2025-12-09T13:39:00Z</dcterms:created>
  <dc:creator/>
  <dc:description/>
  <dc:language>fr-FR</dc:language>
  <cp:lastModifiedBy/>
  <cp:lastPrinted>2026-02-06T13:36:00Z</cp:lastPrinted>
  <dcterms:modified xsi:type="dcterms:W3CDTF">2026-04-06T11:00:39Z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