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uqzjew227pfc" w:id="0"/>
      <w:bookmarkEnd w:id="0"/>
      <w:r w:rsidDel="00000000" w:rsidR="00000000" w:rsidRPr="00000000">
        <w:rPr>
          <w:b w:val="1"/>
          <w:bCs w:val="1"/>
          <w:color w:val="1f1f1f"/>
          <w:sz w:val="34"/>
          <w:szCs w:val="34"/>
          <w:rtl w:val="0"/>
        </w:rPr>
        <w:t xml:space="preserve">1. Stratégie de résolution (Partie A)</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Objectif :</w:t>
      </w:r>
      <w:r w:rsidDel="00000000" w:rsidR="00000000" w:rsidRPr="00000000">
        <w:rPr>
          <w:color w:val="1f1f1f"/>
          <w:rtl w:val="0"/>
        </w:rPr>
        <w:t xml:space="preserve"> Valider si les analyses génétiques (ADN) et protéiques (dystrophine) permettent de distinguer et diagnostiquer la myopathie de Duchenne (DMD) de celle de Becker (BMD).</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fyhjym6kt8qg" w:id="1"/>
      <w:bookmarkEnd w:id="1"/>
      <w:r w:rsidDel="00000000" w:rsidR="00000000" w:rsidRPr="00000000">
        <w:rPr>
          <w:b w:val="1"/>
          <w:bCs w:val="1"/>
          <w:color w:val="1f1f1f"/>
          <w:sz w:val="26"/>
          <w:szCs w:val="26"/>
          <w:rtl w:val="0"/>
        </w:rPr>
        <w:t xml:space="preserve">Le raisonnement scientifique</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Contexte :</w:t>
      </w:r>
      <w:r w:rsidDel="00000000" w:rsidR="00000000" w:rsidRPr="00000000">
        <w:rPr>
          <w:color w:val="1f1f1f"/>
          <w:rtl w:val="0"/>
        </w:rPr>
        <w:t xml:space="preserve"> Les deux maladies sont dues à des mutations du gène de la dystrophine.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Analyse protéique (Électrophorèse) :</w:t>
      </w:r>
      <w:r w:rsidDel="00000000" w:rsidR="00000000" w:rsidRPr="00000000">
        <w:rPr>
          <w:color w:val="1f1f1f"/>
          <w:rtl w:val="0"/>
        </w:rPr>
        <w:t xml:space="preserve"> Les protéines se déplacent vers l'anode (+) selon leur taille. Une protéine plus courte (tronquée) migrera plus loin ou sera absente.</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Analyse génétique (Logiciel de comparaison) :</w:t>
      </w:r>
      <w:r w:rsidDel="00000000" w:rsidR="00000000" w:rsidRPr="00000000">
        <w:rPr>
          <w:color w:val="1f1f1f"/>
          <w:rtl w:val="0"/>
        </w:rPr>
        <w:t xml:space="preserve"> On compare les séquences nucléotidiques des patients à une séquence de référence pour identifier le type de mutation (substitution, délétion, insertion) et ses conséquences (codon stop prématuré ou simple modification d'acide aminé).</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ah4cv4oqvzv0" w:id="2"/>
      <w:bookmarkEnd w:id="2"/>
      <w:r w:rsidDel="00000000" w:rsidR="00000000" w:rsidRPr="00000000">
        <w:rPr>
          <w:b w:val="1"/>
          <w:bCs w:val="1"/>
          <w:color w:val="1f1f1f"/>
          <w:sz w:val="26"/>
          <w:szCs w:val="26"/>
          <w:rtl w:val="0"/>
        </w:rPr>
        <w:t xml:space="preserve">Résultats attendus</w:t>
      </w:r>
    </w:p>
    <w:p w:rsidR="00000000" w:rsidDel="00000000" w:rsidP="00000000" w:rsidRDefault="00000000" w:rsidRPr="00000000" w14:paraId="00000008">
      <w:pPr>
        <w:numPr>
          <w:ilvl w:val="0"/>
          <w:numId w:val="5"/>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Individu sain :</w:t>
      </w:r>
      <w:r w:rsidDel="00000000" w:rsidR="00000000" w:rsidRPr="00000000">
        <w:rPr>
          <w:color w:val="1f1f1f"/>
          <w:rtl w:val="0"/>
        </w:rPr>
        <w:t xml:space="preserve"> Protéine de taille normale (3 685 acides aminés).</w:t>
      </w:r>
    </w:p>
    <w:p w:rsidR="00000000" w:rsidDel="00000000" w:rsidP="00000000" w:rsidRDefault="00000000" w:rsidRPr="00000000" w14:paraId="00000009">
      <w:pPr>
        <w:numPr>
          <w:ilvl w:val="0"/>
          <w:numId w:val="5"/>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Becker (BMD) :</w:t>
      </w:r>
      <w:r w:rsidDel="00000000" w:rsidR="00000000" w:rsidRPr="00000000">
        <w:rPr>
          <w:color w:val="1f1f1f"/>
          <w:rtl w:val="0"/>
        </w:rPr>
        <w:t xml:space="preserve"> Souvent une protéine de taille réduite mais présente (migration plus rapide).</w:t>
      </w:r>
    </w:p>
    <w:p w:rsidR="00000000" w:rsidDel="00000000" w:rsidP="00000000" w:rsidRDefault="00000000" w:rsidRPr="00000000" w14:paraId="0000000A">
      <w:pPr>
        <w:numPr>
          <w:ilvl w:val="0"/>
          <w:numId w:val="5"/>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Duchenne (DMD) :</w:t>
      </w:r>
      <w:r w:rsidDel="00000000" w:rsidR="00000000" w:rsidRPr="00000000">
        <w:rPr>
          <w:color w:val="1f1f1f"/>
          <w:rtl w:val="0"/>
        </w:rPr>
        <w:t xml:space="preserve"> Souvent une absence de protéine ou une protéine très courte (mutation non-sens/codon stop).</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4"/>
          <w:szCs w:val="34"/>
        </w:rPr>
      </w:pPr>
      <w:bookmarkStart w:colFirst="0" w:colLast="0" w:name="_f2qujvpe5gr0" w:id="3"/>
      <w:bookmarkEnd w:id="3"/>
      <w:r w:rsidDel="00000000" w:rsidR="00000000" w:rsidRPr="00000000">
        <w:rPr>
          <w:b w:val="1"/>
          <w:bCs w:val="1"/>
          <w:color w:val="1f1f1f"/>
          <w:sz w:val="34"/>
          <w:szCs w:val="34"/>
          <w:rtl w:val="0"/>
        </w:rPr>
        <w:t xml:space="preserve">2. Mise en œuvre du protocole (Manipulation)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Attention :</w:t>
      </w:r>
      <w:r w:rsidDel="00000000" w:rsidR="00000000" w:rsidRPr="00000000">
        <w:rPr>
          <w:color w:val="1f1f1f"/>
          <w:rtl w:val="0"/>
        </w:rPr>
        <w:t xml:space="preserve"> La rigueur lors du dépôt dans le gel est déterminante pour la qualité des résultats.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20" w:lineRule="auto"/>
        <w:rPr>
          <w:color w:val="1f1f1f"/>
        </w:rPr>
      </w:pPr>
      <w:r w:rsidDel="00000000" w:rsidR="00000000" w:rsidRPr="00000000">
        <w:rPr>
          <w:color w:val="1f1f1f"/>
          <w:rtl w:val="0"/>
        </w:rPr>
        <w:t xml:space="preserve">Étape 1 : Électrophorèse des protéines</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Sécurité :</w:t>
      </w:r>
      <w:r w:rsidDel="00000000" w:rsidR="00000000" w:rsidRPr="00000000">
        <w:rPr>
          <w:color w:val="1f1f1f"/>
          <w:rtl w:val="0"/>
        </w:rPr>
        <w:t xml:space="preserve"> Port de la blouse et des lunettes. Vérifiez que le générateur est éteint avant toute manipulation des câbles.</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f1f1f"/>
          <w:rtl w:val="0"/>
        </w:rPr>
        <w:t xml:space="preserve">Dépôt :</w:t>
      </w:r>
      <w:r w:rsidDel="00000000" w:rsidR="00000000" w:rsidRPr="00000000">
        <w:rPr>
          <w:color w:val="1f1f1f"/>
          <w:rtl w:val="0"/>
        </w:rPr>
        <w:t xml:space="preserve"> À l'aide de la micropipette (changez d'embout entre chaque échantillon), déposez délicatement les 3 solutions dans les puits du gel :</w:t>
      </w:r>
    </w:p>
    <w:p w:rsidR="00000000" w:rsidDel="00000000" w:rsidP="00000000" w:rsidRDefault="00000000" w:rsidRPr="00000000" w14:paraId="00000010">
      <w:pPr>
        <w:numPr>
          <w:ilvl w:val="1"/>
          <w:numId w:val="1"/>
        </w:numPr>
        <w:pBdr>
          <w:top w:color="auto" w:space="0" w:sz="0" w:val="none"/>
          <w:bottom w:color="auto" w:space="0" w:sz="0" w:val="none"/>
          <w:right w:color="auto" w:space="0" w:sz="0" w:val="none"/>
          <w:between w:color="auto" w:space="0" w:sz="0" w:val="none"/>
        </w:pBdr>
        <w:spacing w:after="0" w:afterAutospacing="0" w:lineRule="auto"/>
        <w:ind w:left="1500" w:hanging="360"/>
      </w:pPr>
      <w:r w:rsidDel="00000000" w:rsidR="00000000" w:rsidRPr="00000000">
        <w:rPr>
          <w:color w:val="1f1f1f"/>
          <w:rtl w:val="0"/>
        </w:rPr>
        <w:t xml:space="preserve">Puits 1 : Individu Duchenne.</w:t>
      </w:r>
    </w:p>
    <w:p w:rsidR="00000000" w:rsidDel="00000000" w:rsidP="00000000" w:rsidRDefault="00000000" w:rsidRPr="00000000" w14:paraId="00000011">
      <w:pPr>
        <w:numPr>
          <w:ilvl w:val="1"/>
          <w:numId w:val="1"/>
        </w:numPr>
        <w:pBdr>
          <w:top w:color="auto" w:space="0" w:sz="0" w:val="none"/>
          <w:bottom w:color="auto" w:space="0" w:sz="0" w:val="none"/>
          <w:right w:color="auto" w:space="0" w:sz="0" w:val="none"/>
          <w:between w:color="auto" w:space="0" w:sz="0" w:val="none"/>
        </w:pBdr>
        <w:spacing w:after="0" w:afterAutospacing="0" w:lineRule="auto"/>
        <w:ind w:left="1500" w:hanging="360"/>
      </w:pPr>
      <w:r w:rsidDel="00000000" w:rsidR="00000000" w:rsidRPr="00000000">
        <w:rPr>
          <w:color w:val="1f1f1f"/>
          <w:rtl w:val="0"/>
        </w:rPr>
        <w:t xml:space="preserve">Puits 2 : Individu Becker.</w:t>
      </w:r>
    </w:p>
    <w:p w:rsidR="00000000" w:rsidDel="00000000" w:rsidP="00000000" w:rsidRDefault="00000000" w:rsidRPr="00000000" w14:paraId="00000012">
      <w:pPr>
        <w:numPr>
          <w:ilvl w:val="1"/>
          <w:numId w:val="1"/>
        </w:numPr>
        <w:pBdr>
          <w:top w:color="auto" w:space="0" w:sz="0" w:val="none"/>
          <w:bottom w:color="auto" w:space="0" w:sz="0" w:val="none"/>
          <w:right w:color="auto" w:space="0" w:sz="0" w:val="none"/>
          <w:between w:color="auto" w:space="0" w:sz="0" w:val="none"/>
        </w:pBdr>
        <w:spacing w:after="0" w:afterAutospacing="0" w:lineRule="auto"/>
        <w:ind w:left="1500" w:hanging="360"/>
      </w:pPr>
      <w:r w:rsidDel="00000000" w:rsidR="00000000" w:rsidRPr="00000000">
        <w:rPr>
          <w:color w:val="1f1f1f"/>
          <w:rtl w:val="0"/>
        </w:rPr>
        <w:t xml:space="preserve">Puits 3 : Individu sain (témoin).</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Migration :</w:t>
      </w:r>
      <w:r w:rsidDel="00000000" w:rsidR="00000000" w:rsidRPr="00000000">
        <w:rPr>
          <w:color w:val="1f1f1f"/>
          <w:rtl w:val="0"/>
        </w:rPr>
        <w:t xml:space="preserve"> Fermez la cuve, branchez les électrodes (Noir sur Cathode -, Rouge sur Anode +) et lancez le générateur.</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20" w:lineRule="auto"/>
        <w:rPr>
          <w:color w:val="1f1f1f"/>
        </w:rPr>
      </w:pPr>
      <w:r w:rsidDel="00000000" w:rsidR="00000000" w:rsidRPr="00000000">
        <w:rPr>
          <w:color w:val="1f1f1f"/>
          <w:rtl w:val="0"/>
        </w:rPr>
        <w:t xml:space="preserve">Étape 2 : Analyse génétique (Logiciel type Anagène/GenieGen)</w:t>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color w:val="1f1f1f"/>
          <w:rtl w:val="0"/>
        </w:rPr>
        <w:t xml:space="preserve">Chargez les séquences d'ADN fournies.</w:t>
      </w:r>
    </w:p>
    <w:p w:rsidR="00000000" w:rsidDel="00000000" w:rsidP="00000000" w:rsidRDefault="00000000" w:rsidRPr="00000000" w14:paraId="00000016">
      <w:pPr>
        <w:numPr>
          <w:ilvl w:val="0"/>
          <w:numId w:val="4"/>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color w:val="1f1f1f"/>
          <w:rtl w:val="0"/>
        </w:rPr>
        <w:t xml:space="preserve">Réalisez une </w:t>
      </w:r>
      <w:r w:rsidDel="00000000" w:rsidR="00000000" w:rsidRPr="00000000">
        <w:rPr>
          <w:b w:val="1"/>
          <w:bCs w:val="1"/>
          <w:color w:val="1f1f1f"/>
          <w:rtl w:val="0"/>
        </w:rPr>
        <w:t xml:space="preserve">comparaison avec alignement</w:t>
      </w:r>
      <w:r w:rsidDel="00000000" w:rsidR="00000000" w:rsidRPr="00000000">
        <w:rPr>
          <w:color w:val="1f1f1f"/>
          <w:rtl w:val="0"/>
        </w:rPr>
        <w:t xml:space="preserve"> par rapport à la séquence de l'individu non-atteint.</w:t>
      </w:r>
    </w:p>
    <w:p w:rsidR="00000000" w:rsidDel="00000000" w:rsidP="00000000" w:rsidRDefault="00000000" w:rsidRPr="00000000" w14:paraId="00000017">
      <w:pPr>
        <w:numPr>
          <w:ilvl w:val="0"/>
          <w:numId w:val="4"/>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color w:val="1f1f1f"/>
          <w:rtl w:val="0"/>
        </w:rPr>
        <w:t xml:space="preserve">Repérez les mutations et utilisez le code génétique pour vérifier si la mutation entraîne l'apparition d'un </w:t>
      </w:r>
      <w:r w:rsidDel="00000000" w:rsidR="00000000" w:rsidRPr="00000000">
        <w:rPr>
          <w:b w:val="1"/>
          <w:bCs w:val="1"/>
          <w:color w:val="1f1f1f"/>
          <w:rtl w:val="0"/>
        </w:rPr>
        <w:t xml:space="preserve">codon stop</w:t>
      </w:r>
      <w:r w:rsidDel="00000000" w:rsidR="00000000" w:rsidRPr="00000000">
        <w:rPr>
          <w:color w:val="1f1f1f"/>
          <w:rtl w:val="0"/>
        </w:rPr>
        <w:t xml:space="preserve"> (myopathie de Duchenne généralement).</w:t>
      </w:r>
    </w:p>
    <w:p w:rsidR="00000000" w:rsidDel="00000000" w:rsidP="00000000" w:rsidRDefault="00000000" w:rsidRPr="00000000" w14:paraId="00000018">
      <w:pPr>
        <w:pBdr>
          <w:top w:color="auto" w:space="0" w:sz="0" w:val="none"/>
          <w:bottom w:color="auto" w:space="0" w:sz="0" w:val="none"/>
          <w:right w:color="auto" w:space="0" w:sz="0" w:val="none"/>
          <w:between w:color="auto" w:space="0" w:sz="0" w:val="none"/>
        </w:pBdr>
        <w:spacing w:after="360" w:lineRule="auto"/>
        <w:ind w:left="0" w:firstLine="0"/>
        <w:rPr>
          <w:b w:val="1"/>
          <w:bCs w:val="1"/>
          <w:color w:val="1f1f1f"/>
          <w:sz w:val="34"/>
          <w:szCs w:val="34"/>
        </w:rPr>
      </w:pPr>
      <w:r w:rsidDel="00000000" w:rsidR="00000000" w:rsidRPr="00000000">
        <w:rPr>
          <w:b w:val="1"/>
          <w:bCs w:val="1"/>
          <w:color w:val="1f1f1f"/>
          <w:sz w:val="34"/>
          <w:szCs w:val="34"/>
          <w:rtl w:val="0"/>
        </w:rPr>
        <w:t xml:space="preserve">3. Communication des résultats (Partie B)</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Présentez vos deux types de preuves de manière organisée.</w:t>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f1f1f"/>
          <w:sz w:val="26"/>
          <w:szCs w:val="26"/>
        </w:rPr>
      </w:pPr>
      <w:bookmarkStart w:colFirst="0" w:colLast="0" w:name="_uz0qznalklk5" w:id="4"/>
      <w:bookmarkEnd w:id="4"/>
      <w:r w:rsidDel="00000000" w:rsidR="00000000" w:rsidRPr="00000000">
        <w:rPr>
          <w:b w:val="1"/>
          <w:bCs w:val="1"/>
          <w:color w:val="1f1f1f"/>
          <w:sz w:val="26"/>
          <w:szCs w:val="26"/>
          <w:rtl w:val="0"/>
        </w:rPr>
        <w:t xml:space="preserve">Présentation suggérée</w:t>
      </w:r>
    </w:p>
    <w:p w:rsidR="00000000" w:rsidDel="00000000" w:rsidP="00000000" w:rsidRDefault="00000000" w:rsidRPr="00000000" w14:paraId="0000001B">
      <w:pPr>
        <w:numPr>
          <w:ilvl w:val="0"/>
          <w:numId w:val="6"/>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Schéma ou photo du gel d'électrophorèse :</w:t>
      </w:r>
      <w:r w:rsidDel="00000000" w:rsidR="00000000" w:rsidRPr="00000000">
        <w:rPr>
          <w:color w:val="1f1f1f"/>
          <w:rtl w:val="0"/>
        </w:rPr>
        <w:t xml:space="preserve"> Identifiez les bandes visibles. Notez que la distance parcourue est inversement proportionnelle à la taille de la protéine.</w:t>
      </w:r>
    </w:p>
    <w:p w:rsidR="00000000" w:rsidDel="00000000" w:rsidP="00000000" w:rsidRDefault="00000000" w:rsidRPr="00000000" w14:paraId="0000001C">
      <w:pPr>
        <w:numPr>
          <w:ilvl w:val="0"/>
          <w:numId w:val="6"/>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f1f1f"/>
          <w:rtl w:val="0"/>
        </w:rPr>
        <w:t xml:space="preserve">Capture d'écran de la comparaison moléculaire :</w:t>
      </w:r>
      <w:r w:rsidDel="00000000" w:rsidR="00000000" w:rsidRPr="00000000">
        <w:rPr>
          <w:color w:val="1f1f1f"/>
          <w:rtl w:val="0"/>
        </w:rPr>
        <w:t xml:space="preserve"> Encadrez la mutation (ex: délétion d'un nucléotide provoquant un décalage du cadre de lecture).</w:t>
      </w:r>
    </w:p>
    <w:tbl>
      <w:tblPr>
        <w:tblStyle w:val="Table1"/>
        <w:tblW w:w="8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0"/>
        <w:gridCol w:w="3990"/>
        <w:gridCol w:w="3180"/>
        <w:tblGridChange w:id="0">
          <w:tblGrid>
            <w:gridCol w:w="1620"/>
            <w:gridCol w:w="3990"/>
            <w:gridCol w:w="3180"/>
          </w:tblGrid>
        </w:tblGridChange>
      </w:tblGrid>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D">
            <w:pPr>
              <w:spacing w:after="480" w:lineRule="auto"/>
              <w:rPr>
                <w:color w:val="1f1f1f"/>
              </w:rPr>
            </w:pPr>
            <w:r w:rsidDel="00000000" w:rsidR="00000000" w:rsidRPr="00000000">
              <w:rPr>
                <w:b w:val="1"/>
                <w:bCs w:val="1"/>
                <w:color w:val="1f1f1f"/>
                <w:rtl w:val="0"/>
              </w:rPr>
              <w:t xml:space="preserve">Échantillon</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1E">
            <w:pPr>
              <w:spacing w:after="480" w:lineRule="auto"/>
              <w:rPr>
                <w:color w:val="1f1f1f"/>
              </w:rPr>
            </w:pPr>
            <w:r w:rsidDel="00000000" w:rsidR="00000000" w:rsidRPr="00000000">
              <w:rPr>
                <w:b w:val="1"/>
                <w:bCs w:val="1"/>
                <w:color w:val="1f1f1f"/>
                <w:rtl w:val="0"/>
              </w:rPr>
              <w:t xml:space="preserve">Aspect de la bande (Protéine)</w:t>
            </w:r>
            <w:r w:rsidDel="00000000" w:rsidR="00000000" w:rsidRPr="00000000">
              <w:rPr>
                <w:rtl w:val="0"/>
              </w:rPr>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1F">
            <w:pPr>
              <w:spacing w:after="480" w:lineRule="auto"/>
              <w:rPr>
                <w:color w:val="1f1f1f"/>
              </w:rPr>
            </w:pPr>
            <w:r w:rsidDel="00000000" w:rsidR="00000000" w:rsidRPr="00000000">
              <w:rPr>
                <w:b w:val="1"/>
                <w:bCs w:val="1"/>
                <w:color w:val="1f1f1f"/>
                <w:rtl w:val="0"/>
              </w:rPr>
              <w:t xml:space="preserve">Interprétation (Taille)</w:t>
            </w:r>
            <w:r w:rsidDel="00000000" w:rsidR="00000000" w:rsidRPr="00000000">
              <w:rPr>
                <w:rtl w:val="0"/>
              </w:rPr>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0">
            <w:pPr>
              <w:spacing w:after="480" w:lineRule="auto"/>
              <w:rPr>
                <w:color w:val="1f1f1f"/>
              </w:rPr>
            </w:pPr>
            <w:r w:rsidDel="00000000" w:rsidR="00000000" w:rsidRPr="00000000">
              <w:rPr>
                <w:color w:val="1f1f1f"/>
                <w:rtl w:val="0"/>
              </w:rPr>
              <w:t xml:space="preserve">1 (Duchenne)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1">
            <w:pPr>
              <w:spacing w:after="480" w:lineRule="auto"/>
              <w:rPr>
                <w:color w:val="1f1f1f"/>
              </w:rPr>
            </w:pPr>
            <w:r w:rsidDel="00000000" w:rsidR="00000000" w:rsidRPr="00000000">
              <w:rPr>
                <w:color w:val="1f1f1f"/>
                <w:rtl w:val="0"/>
              </w:rPr>
              <w:t xml:space="preserve">Bande absente ou très basse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2">
            <w:pPr>
              <w:spacing w:after="480" w:lineRule="auto"/>
              <w:rPr>
                <w:color w:val="1f1f1f"/>
              </w:rPr>
            </w:pPr>
            <w:r w:rsidDel="00000000" w:rsidR="00000000" w:rsidRPr="00000000">
              <w:rPr>
                <w:color w:val="1f1f1f"/>
                <w:rtl w:val="0"/>
              </w:rPr>
              <w:t xml:space="preserve">Protéine absente ou très courte</w:t>
            </w:r>
          </w:p>
        </w:tc>
      </w:tr>
      <w:tr>
        <w:trPr>
          <w:cantSplit w:val="0"/>
          <w:trHeight w:val="1065"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3">
            <w:pPr>
              <w:spacing w:after="480" w:lineRule="auto"/>
              <w:rPr>
                <w:color w:val="1f1f1f"/>
              </w:rPr>
            </w:pPr>
            <w:r w:rsidDel="00000000" w:rsidR="00000000" w:rsidRPr="00000000">
              <w:rPr>
                <w:color w:val="1f1f1f"/>
                <w:rtl w:val="0"/>
              </w:rPr>
              <w:t xml:space="preserve">2 (Becker)</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4">
            <w:pPr>
              <w:spacing w:after="480" w:lineRule="auto"/>
              <w:rPr>
                <w:color w:val="1f1f1f"/>
              </w:rPr>
            </w:pPr>
            <w:r w:rsidDel="00000000" w:rsidR="00000000" w:rsidRPr="00000000">
              <w:rPr>
                <w:color w:val="1f1f1f"/>
                <w:rtl w:val="0"/>
              </w:rPr>
              <w:t xml:space="preserve">Bande légèrement plus basse que le témoin</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5">
            <w:pPr>
              <w:spacing w:after="480" w:lineRule="auto"/>
              <w:rPr>
                <w:color w:val="1f1f1f"/>
              </w:rPr>
            </w:pPr>
            <w:r w:rsidDel="00000000" w:rsidR="00000000" w:rsidRPr="00000000">
              <w:rPr>
                <w:color w:val="1f1f1f"/>
                <w:rtl w:val="0"/>
              </w:rPr>
              <w:t xml:space="preserve">Protéine présente mais plus courte</w:t>
            </w:r>
          </w:p>
        </w:tc>
      </w:tr>
      <w:tr>
        <w:trPr>
          <w:cantSplit w:val="0"/>
          <w:trHeight w:val="780" w:hRule="atLeast"/>
          <w:tblHeader w:val="0"/>
        </w:trPr>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6">
            <w:pPr>
              <w:spacing w:after="480" w:lineRule="auto"/>
              <w:rPr>
                <w:color w:val="1f1f1f"/>
              </w:rPr>
            </w:pPr>
            <w:r w:rsidDel="00000000" w:rsidR="00000000" w:rsidRPr="00000000">
              <w:rPr>
                <w:color w:val="1f1f1f"/>
                <w:rtl w:val="0"/>
              </w:rPr>
              <w:t xml:space="preserve">3 (Témoin)</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180.0" w:type="dxa"/>
            </w:tcMar>
            <w:vAlign w:val="top"/>
          </w:tcPr>
          <w:p w:rsidR="00000000" w:rsidDel="00000000" w:rsidP="00000000" w:rsidRDefault="00000000" w:rsidRPr="00000000" w14:paraId="00000027">
            <w:pPr>
              <w:spacing w:after="480" w:lineRule="auto"/>
              <w:rPr>
                <w:color w:val="1f1f1f"/>
              </w:rPr>
            </w:pPr>
            <w:r w:rsidDel="00000000" w:rsidR="00000000" w:rsidRPr="00000000">
              <w:rPr>
                <w:color w:val="1f1f1f"/>
                <w:rtl w:val="0"/>
              </w:rPr>
              <w:t xml:space="preserve">Bande au niveau de référence</w:t>
            </w:r>
          </w:p>
        </w:tc>
        <w:tc>
          <w:tcPr>
            <w:tcBorders>
              <w:top w:color="1f1f1f" w:space="0" w:sz="6" w:val="single"/>
              <w:left w:color="1f1f1f" w:space="0" w:sz="6" w:val="single"/>
              <w:bottom w:color="1f1f1f" w:space="0" w:sz="6" w:val="single"/>
              <w:right w:color="1f1f1f" w:space="0" w:sz="6" w:val="single"/>
            </w:tcBorders>
            <w:tcMar>
              <w:top w:w="240.0" w:type="dxa"/>
              <w:left w:w="0.0" w:type="dxa"/>
              <w:bottom w:w="240.0" w:type="dxa"/>
              <w:right w:w="0.0" w:type="dxa"/>
            </w:tcMar>
            <w:vAlign w:val="top"/>
          </w:tcPr>
          <w:p w:rsidR="00000000" w:rsidDel="00000000" w:rsidP="00000000" w:rsidRDefault="00000000" w:rsidRPr="00000000" w14:paraId="00000028">
            <w:pPr>
              <w:spacing w:after="480" w:lineRule="auto"/>
              <w:rPr>
                <w:color w:val="1f1f1f"/>
              </w:rPr>
            </w:pPr>
            <w:r w:rsidDel="00000000" w:rsidR="00000000" w:rsidRPr="00000000">
              <w:rPr>
                <w:color w:val="1f1f1f"/>
                <w:rtl w:val="0"/>
              </w:rPr>
              <w:t xml:space="preserve">Protéine normale (3 685 AA)</w:t>
            </w:r>
          </w:p>
        </w:tc>
      </w:tr>
    </w:tbl>
    <w:p w:rsidR="00000000" w:rsidDel="00000000" w:rsidP="00000000" w:rsidRDefault="00000000" w:rsidRPr="00000000" w14:paraId="00000029">
      <w:pPr>
        <w:rPr>
          <w:color w:val="1f1f1f"/>
        </w:rPr>
      </w:pPr>
      <w:r w:rsidDel="00000000" w:rsidR="00000000" w:rsidRPr="00000000">
        <w:rPr>
          <w:rtl w:val="0"/>
        </w:rPr>
      </w:r>
    </w:p>
    <w:p w:rsidR="00000000" w:rsidDel="00000000" w:rsidP="00000000" w:rsidRDefault="00000000" w:rsidRPr="00000000" w14:paraId="0000002A">
      <w:pPr>
        <w:rPr>
          <w:color w:val="1f1f1f"/>
        </w:rPr>
      </w:pPr>
      <w:r w:rsidDel="00000000" w:rsidR="00000000" w:rsidRPr="00000000">
        <w:rPr>
          <w:rtl w:val="0"/>
        </w:rPr>
      </w:r>
    </w:p>
    <w:p w:rsidR="00000000" w:rsidDel="00000000" w:rsidP="00000000" w:rsidRDefault="00000000" w:rsidRPr="00000000" w14:paraId="0000002B">
      <w:pPr>
        <w:rPr>
          <w:color w:val="1f1f1f"/>
        </w:rPr>
      </w:pPr>
      <w:r w:rsidDel="00000000" w:rsidR="00000000" w:rsidRPr="00000000">
        <w:rPr>
          <w:color w:val="1f1f1f"/>
          <w:rtl w:val="0"/>
        </w:rPr>
        <w:t xml:space="preserve">4. Conclusion et Discussion</w:t>
      </w:r>
    </w:p>
    <w:p w:rsidR="00000000" w:rsidDel="00000000" w:rsidP="00000000" w:rsidRDefault="00000000" w:rsidRPr="00000000" w14:paraId="0000002C">
      <w:pPr>
        <w:numPr>
          <w:ilvl w:val="0"/>
          <w:numId w:val="3"/>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Je vois :</w:t>
      </w:r>
      <w:r w:rsidDel="00000000" w:rsidR="00000000" w:rsidRPr="00000000">
        <w:rPr>
          <w:color w:val="1f1f1f"/>
          <w:rtl w:val="0"/>
        </w:rPr>
        <w:t xml:space="preserve"> L'électrophorèse montre des profils protéiques différents pour les deux patients. L'analyse génétique révèle des mutations spécifiques.</w:t>
      </w:r>
    </w:p>
    <w:p w:rsidR="00000000" w:rsidDel="00000000" w:rsidP="00000000" w:rsidRDefault="00000000" w:rsidRPr="00000000" w14:paraId="0000002D">
      <w:pPr>
        <w:numPr>
          <w:ilvl w:val="0"/>
          <w:numId w:val="3"/>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Je sais :</w:t>
      </w:r>
      <w:r w:rsidDel="00000000" w:rsidR="00000000" w:rsidRPr="00000000">
        <w:rPr>
          <w:color w:val="1f1f1f"/>
          <w:rtl w:val="0"/>
        </w:rPr>
        <w:t xml:space="preserve"> La myopathie de Duchenne est la forme la plus sévère car la protéine est quasi-inexistante, tandis que celle de Becker présente une protéine fonctionnelle mais altérée.</w:t>
      </w:r>
    </w:p>
    <w:p w:rsidR="00000000" w:rsidDel="00000000" w:rsidP="00000000" w:rsidRDefault="00000000" w:rsidRPr="00000000" w14:paraId="0000002E">
      <w:pPr>
        <w:numPr>
          <w:ilvl w:val="0"/>
          <w:numId w:val="3"/>
        </w:numPr>
        <w:pBdr>
          <w:top w:color="auto" w:space="0" w:sz="0" w:val="none"/>
          <w:bottom w:color="auto" w:space="0" w:sz="0" w:val="none"/>
          <w:right w:color="auto" w:space="0" w:sz="0" w:val="none"/>
          <w:between w:color="auto" w:space="0" w:sz="0" w:val="none"/>
        </w:pBdr>
        <w:spacing w:after="0" w:afterAutospacing="0" w:lineRule="auto"/>
        <w:ind w:left="780" w:hanging="360"/>
      </w:pPr>
      <w:r w:rsidDel="00000000" w:rsidR="00000000" w:rsidRPr="00000000">
        <w:rPr>
          <w:b w:val="1"/>
          <w:bCs w:val="1"/>
          <w:color w:val="1f1f1f"/>
          <w:rtl w:val="0"/>
        </w:rPr>
        <w:t xml:space="preserve">Je conclus :</w:t>
      </w:r>
      <w:r w:rsidDel="00000000" w:rsidR="00000000" w:rsidRPr="00000000">
        <w:rPr>
          <w:color w:val="1f1f1f"/>
          <w:rtl w:val="0"/>
        </w:rPr>
        <w:t xml:space="preserve"> Les analyses protéiques et génétiques sont des outils de diagnostic </w:t>
      </w:r>
      <w:r w:rsidDel="00000000" w:rsidR="00000000" w:rsidRPr="00000000">
        <w:rPr>
          <w:color w:val="1f1f1f"/>
          <w:rtl w:val="0"/>
        </w:rPr>
        <w:t xml:space="preserve">valides</w:t>
      </w:r>
      <w:r w:rsidDel="00000000" w:rsidR="00000000" w:rsidRPr="00000000">
        <w:rPr>
          <w:color w:val="1f1f1f"/>
          <w:rtl w:val="0"/>
        </w:rPr>
        <w:t xml:space="preserve"> et complémentaires. </w:t>
      </w:r>
      <w:r w:rsidDel="00000000" w:rsidR="00000000" w:rsidRPr="00000000">
        <w:rPr>
          <w:color w:val="1f1f1f"/>
          <w:highlight w:val="yellow"/>
          <w:rtl w:val="0"/>
        </w:rPr>
        <w:t xml:space="preserve">Elles permettent de distinguer avec précision DMD et BMD là où l'examen clinique macroscopique atteint ses limites.</w:t>
      </w:r>
      <w:r w:rsidDel="00000000" w:rsidR="00000000" w:rsidRPr="00000000">
        <w:rPr>
          <w:color w:val="1f1f1f"/>
          <w:rtl w:val="0"/>
        </w:rPr>
        <w:t xml:space="preserve">L'analyse génétique est plus précise car elle identifie la cause (la mutation), tandis que l'analyse protéique montre la conséquence. Le diagnostic génétique est essentiel pour le conseil génétique familial.</w:t>
      </w:r>
      <w:r w:rsidDel="00000000" w:rsidR="00000000" w:rsidRPr="00000000">
        <w:rPr>
          <w:rtl w:val="0"/>
        </w:rPr>
      </w:r>
    </w:p>
    <w:p w:rsidR="00000000" w:rsidDel="00000000" w:rsidP="00000000" w:rsidRDefault="00000000" w:rsidRPr="00000000" w14:paraId="0000002F">
      <w:pPr>
        <w:numPr>
          <w:ilvl w:val="0"/>
          <w:numId w:val="3"/>
        </w:numPr>
        <w:pBdr>
          <w:top w:color="auto" w:space="0" w:sz="0" w:val="none"/>
          <w:bottom w:color="auto" w:space="0" w:sz="0" w:val="none"/>
          <w:right w:color="auto" w:space="0" w:sz="0" w:val="none"/>
          <w:between w:color="auto" w:space="0" w:sz="0" w:val="none"/>
        </w:pBdr>
        <w:spacing w:after="360" w:lineRule="auto"/>
        <w:ind w:left="780" w:hanging="360"/>
      </w:pPr>
      <w:r w:rsidDel="00000000" w:rsidR="00000000" w:rsidRPr="00000000">
        <w:rPr>
          <w:b w:val="1"/>
          <w:bCs w:val="1"/>
          <w:color w:val="1f1f1f"/>
          <w:rtl w:val="0"/>
        </w:rPr>
        <w:t xml:space="preserve">Ouverture : </w:t>
      </w:r>
      <w:r w:rsidDel="00000000" w:rsidR="00000000" w:rsidRPr="00000000">
        <w:rPr>
          <w:color w:val="1f1f1f"/>
          <w:rtl w:val="0"/>
        </w:rPr>
        <w:t xml:space="preserve">Il aurait fallu ne pas se contenter d'un alignement visuel, mais utiliser la fonction "Informations sur la sélection" sur Anagen pour compter précisément le nombre de nucléotides manquants ou identifier l'emplacement exact du codon stop prématuré.</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1f1f1f"/>
        <w:u w:val="none"/>
      </w:rPr>
    </w:lvl>
    <w:lvl w:ilvl="1">
      <w:start w:val="1"/>
      <w:numFmt w:val="bullet"/>
      <w:lvlText w:val="○"/>
      <w:lvlJc w:val="left"/>
      <w:pPr>
        <w:ind w:left="1440" w:hanging="360"/>
      </w:pPr>
      <w:rPr>
        <w:rFonts w:ascii="Arial" w:cs="Arial" w:eastAsia="Arial" w:hAnsi="Arial"/>
        <w:color w:val="1f1f1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color w:val="1f1f1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f1f1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