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ht2xenv8nyji" w:id="0"/>
      <w:bookmarkEnd w:id="0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1. Stratégie de résolution (Partie A)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Objectif :</w:t>
      </w:r>
      <w:r w:rsidDel="00000000" w:rsidR="00000000" w:rsidRPr="00000000">
        <w:rPr>
          <w:color w:val="1f1f1f"/>
          <w:rtl w:val="0"/>
        </w:rPr>
        <w:t xml:space="preserve"> Comparer les âges de cristallisation des granites de Guéret et de l'Aigoual pour déterminer s'ils correspondent aux mêmes étapes de l'orogenèse hercynienne (collision ou effondrement).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s0xu4mm6ybu0" w:id="1"/>
      <w:bookmarkEnd w:id="1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Le raisonnement scientifique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Hypothèse :</w:t>
      </w:r>
      <w:r w:rsidDel="00000000" w:rsidR="00000000" w:rsidRPr="00000000">
        <w:rPr>
          <w:color w:val="1f1f1f"/>
          <w:rtl w:val="0"/>
        </w:rPr>
        <w:t xml:space="preserve"> Les granites de collision se forment pendant la phase de compression (épaississement crustal), tandis que les granites tardifs se forment lors de l'extension (effondrement de la chaîne).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Étape 1 (Minéralogie) :</w:t>
      </w:r>
      <w:r w:rsidDel="00000000" w:rsidR="00000000" w:rsidRPr="00000000">
        <w:rPr>
          <w:color w:val="1f1f1f"/>
          <w:rtl w:val="0"/>
        </w:rPr>
        <w:t xml:space="preserve"> Identifier les minéraux nécessaires à la datation Rubidium/Strontium dans le granite de Guéret (principalement la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biotite</w:t>
      </w:r>
      <w:r w:rsidDel="00000000" w:rsidR="00000000" w:rsidRPr="00000000">
        <w:rPr>
          <w:color w:val="1f1f1f"/>
          <w:rtl w:val="0"/>
        </w:rPr>
        <w:t xml:space="preserve"> et le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feldspath orthose</w:t>
      </w:r>
      <w:r w:rsidDel="00000000" w:rsidR="00000000" w:rsidRPr="00000000">
        <w:rPr>
          <w:color w:val="1f1f1f"/>
          <w:rtl w:val="0"/>
        </w:rPr>
        <w:t xml:space="preserve">, riches en Potassium et donc en Rubidium).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Étape 2 (Datation absolue) :</w:t>
      </w:r>
      <w:r w:rsidDel="00000000" w:rsidR="00000000" w:rsidRPr="00000000">
        <w:rPr>
          <w:color w:val="1f1f1f"/>
          <w:rtl w:val="0"/>
        </w:rPr>
        <w:t xml:space="preserve"> Construire l'isochrone du granite de Guéret à l'aide des rapports isotopiques et calculer son âge.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Étape 3 (Comparaison) :</w:t>
      </w:r>
      <w:r w:rsidDel="00000000" w:rsidR="00000000" w:rsidRPr="00000000">
        <w:rPr>
          <w:color w:val="1f1f1f"/>
          <w:rtl w:val="0"/>
        </w:rPr>
        <w:t xml:space="preserve"> Comparer cet âge à celui du granite de l'Aigoual (fourni en ressource) pour conclure sur leur chronologie relative.</w:t>
      </w:r>
    </w:p>
    <w:p w:rsidR="00000000" w:rsidDel="00000000" w:rsidP="00000000" w:rsidRDefault="00000000" w:rsidRPr="00000000" w14:paraId="00000008">
      <w:pPr>
        <w:rPr>
          <w:b w:val="1"/>
          <w:bCs w:val="1"/>
          <w:color w:val="1f1f1f"/>
          <w:sz w:val="34"/>
          <w:szCs w:val="34"/>
        </w:rPr>
      </w:pPr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2. Mise en œuvre du protocole (Manipulation)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Le secret de la performance :</w:t>
      </w:r>
      <w:r w:rsidDel="00000000" w:rsidR="00000000" w:rsidRPr="00000000">
        <w:rPr>
          <w:color w:val="1f1f1f"/>
          <w:rtl w:val="0"/>
        </w:rPr>
        <w:t xml:space="preserve"> La qualité de l'exploitation statistique sur tableur pour obtenir une pente de droite ultra-précise.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t6g3w52h7a36" w:id="2"/>
      <w:bookmarkEnd w:id="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Étapes techniques (Microscopie)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Réglage :</w:t>
      </w:r>
      <w:r w:rsidDel="00000000" w:rsidR="00000000" w:rsidRPr="00000000">
        <w:rPr>
          <w:color w:val="1f1f1f"/>
          <w:rtl w:val="0"/>
        </w:rPr>
        <w:t xml:space="preserve"> Observation de la lame mince de granite de Guéret en LPA (Lumière Polarisée Analysée).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Identification :</w:t>
      </w:r>
      <w:r w:rsidDel="00000000" w:rsidR="00000000" w:rsidRPr="00000000">
        <w:rPr>
          <w:color w:val="1f1f1f"/>
          <w:rtl w:val="0"/>
        </w:rPr>
        <w:t xml:space="preserve"> *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Biotite :</w:t>
      </w:r>
      <w:r w:rsidDel="00000000" w:rsidR="00000000" w:rsidRPr="00000000">
        <w:rPr>
          <w:color w:val="1f1f1f"/>
          <w:rtl w:val="0"/>
        </w:rPr>
        <w:t xml:space="preserve"> Forme de lattes, couleurs d'interférence vives, pléochroïsme en LPNA.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Feldspath Orthose :</w:t>
      </w:r>
      <w:r w:rsidDel="00000000" w:rsidR="00000000" w:rsidRPr="00000000">
        <w:rPr>
          <w:color w:val="1f1f1f"/>
          <w:rtl w:val="0"/>
        </w:rPr>
        <w:t xml:space="preserve"> Souvent de grande taille, peut présenter une macle simple (deux teintes de gris).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Justification :</w:t>
      </w:r>
      <w:r w:rsidDel="00000000" w:rsidR="00000000" w:rsidRPr="00000000">
        <w:rPr>
          <w:color w:val="1f1f1f"/>
          <w:rtl w:val="0"/>
        </w:rPr>
        <w:t xml:space="preserve"> Ces minéraux sont choisis pour la datation car le ^87Rb remplace le Potassium K dans leurs réseaux cristallins.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e7k72w67zcm6" w:id="3"/>
      <w:bookmarkEnd w:id="3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Étapes techniques (Tableur / Datation)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Saisie :</w:t>
      </w:r>
      <w:r w:rsidDel="00000000" w:rsidR="00000000" w:rsidRPr="00000000">
        <w:rPr>
          <w:color w:val="1f1f1f"/>
          <w:rtl w:val="0"/>
        </w:rPr>
        <w:t xml:space="preserve"> Entrez les données de l'échantillon de Guéret (X = ^87Rb/^86Sr ; Y = ^{87}Sr/^{86}Sr).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Droite isochrone :</w:t>
      </w:r>
      <w:r w:rsidDel="00000000" w:rsidR="00000000" w:rsidRPr="00000000">
        <w:rPr>
          <w:color w:val="1f1f1f"/>
          <w:rtl w:val="0"/>
        </w:rPr>
        <w:t xml:space="preserve"> Affichez le graphique, la courbe de tendance linéaire et l'équation y = ax + b.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Calcul :</w:t>
      </w:r>
      <w:r w:rsidDel="00000000" w:rsidR="00000000" w:rsidRPr="00000000">
        <w:rPr>
          <w:color w:val="1f1f1f"/>
          <w:rtl w:val="0"/>
        </w:rPr>
        <w:t xml:space="preserve"> t = ln(a+1)\lambda avec lambda = 1,42.10^{-11}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i w:val="1"/>
          <w:iCs w:val="1"/>
          <w:color w:val="1f1f1f"/>
          <w:rtl w:val="0"/>
        </w:rPr>
        <w:t xml:space="preserve">Exemple : Si a = 0,005, alors t environ égal à 350 Ma.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wo9u033na7ss" w:id="4"/>
      <w:bookmarkEnd w:id="4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Moyens pour fiabiliser la manipulation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Validation de l'alignement :</w:t>
      </w:r>
      <w:r w:rsidDel="00000000" w:rsidR="00000000" w:rsidRPr="00000000">
        <w:rPr>
          <w:color w:val="1f1f1f"/>
          <w:rtl w:val="0"/>
        </w:rPr>
        <w:t xml:space="preserve"> Un coefficient de corrélation R^2 proche de 1 valide le fait que les minéraux ont tous cristallisé en même temps à partir du même magma (fermeture du système).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Calcul de l'incertitude :</w:t>
      </w:r>
      <w:r w:rsidDel="00000000" w:rsidR="00000000" w:rsidRPr="00000000">
        <w:rPr>
          <w:color w:val="1f1f1f"/>
          <w:rtl w:val="0"/>
        </w:rPr>
        <w:t xml:space="preserve"> Si l'âge trouvé est très proche de celui de l'Aigoual, soyez prudent dans votre conclusion et mentionnez l'incertitude de mesure ($\pm 10$ Ma).</w:t>
      </w:r>
    </w:p>
    <w:p w:rsidR="00000000" w:rsidDel="00000000" w:rsidP="00000000" w:rsidRDefault="00000000" w:rsidRPr="00000000" w14:paraId="00000017">
      <w:pPr>
        <w:rPr>
          <w:b w:val="1"/>
          <w:bCs w:val="1"/>
          <w:color w:val="1f1f1f"/>
          <w:sz w:val="34"/>
          <w:szCs w:val="34"/>
        </w:rPr>
      </w:pPr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3. Communication des résultats (Partie B)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p5d1cwa3btm9" w:id="5"/>
      <w:bookmarkEnd w:id="5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Présentation des résultats (Niveau A)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Utilisez un tableau pour confronter les deux massifs.</w:t>
      </w:r>
    </w:p>
    <w:tbl>
      <w:tblPr>
        <w:tblStyle w:val="Table1"/>
        <w:tblW w:w="78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95"/>
        <w:gridCol w:w="2430"/>
        <w:gridCol w:w="4365"/>
        <w:tblGridChange w:id="0">
          <w:tblGrid>
            <w:gridCol w:w="1095"/>
            <w:gridCol w:w="2430"/>
            <w:gridCol w:w="436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Granite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Âge calculé / fourni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Étape du cycle orogénique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Guéret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ex: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350 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Phase de collision (épaississement)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Aigoual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ex: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290 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Phase tardive (extension / effondrement)</w:t>
            </w:r>
          </w:p>
        </w:tc>
      </w:tr>
    </w:tbl>
    <w:p w:rsidR="00000000" w:rsidDel="00000000" w:rsidP="00000000" w:rsidRDefault="00000000" w:rsidRPr="00000000" w14:paraId="00000023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1f1f1f"/>
          <w:sz w:val="34"/>
          <w:szCs w:val="34"/>
        </w:rPr>
      </w:pPr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4. Conclusion : L'interprétation finale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Structure "Je vois, Je sais, Je conclus" 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Je vois :</w:t>
      </w:r>
      <w:r w:rsidDel="00000000" w:rsidR="00000000" w:rsidRPr="00000000">
        <w:rPr>
          <w:color w:val="1f1f1f"/>
          <w:rtl w:val="0"/>
        </w:rPr>
        <w:t xml:space="preserve"> Le granite de Guéret est daté de -350 Ma, alors que celui de l'Aigoual est daté de -290 Ma.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Je sais :</w:t>
      </w:r>
      <w:r w:rsidDel="00000000" w:rsidR="00000000" w:rsidRPr="00000000">
        <w:rPr>
          <w:color w:val="1f1f1f"/>
          <w:rtl w:val="0"/>
        </w:rPr>
        <w:t xml:space="preserve"> La chaîne hercynienne connaît une phase de collision majeure vers -350 Ma et une phase d'extension/effondrement gravitaire vers -300/-290 Ma.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Je conclus 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color w:val="1f1f1f"/>
          <w:highlight w:val="yellow"/>
          <w:rtl w:val="0"/>
        </w:rPr>
        <w:t xml:space="preserve">Les deux granites ne se sont pas formés à la même étape.</w:t>
      </w:r>
      <w:r w:rsidDel="00000000" w:rsidR="00000000" w:rsidRPr="00000000">
        <w:rPr>
          <w:color w:val="1f1f1f"/>
          <w:rtl w:val="0"/>
        </w:rPr>
        <w:t xml:space="preserve"> Le granite de Guéret est un granite de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collision</w:t>
      </w:r>
      <w:r w:rsidDel="00000000" w:rsidR="00000000" w:rsidRPr="00000000">
        <w:rPr>
          <w:color w:val="1f1f1f"/>
          <w:rtl w:val="0"/>
        </w:rPr>
        <w:t xml:space="preserve">, formé lors de l'édification de la chaîne, tandis que le granite de l'Aigoual est un granite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tardif</w:t>
      </w:r>
      <w:r w:rsidDel="00000000" w:rsidR="00000000" w:rsidRPr="00000000">
        <w:rPr>
          <w:color w:val="1f1f1f"/>
          <w:rtl w:val="0"/>
        </w:rPr>
        <w:t xml:space="preserve">, formé lors de la démantèlement de la chaîne hercynienne.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Ouverture </w:t>
      </w:r>
      <w:r w:rsidDel="00000000" w:rsidR="00000000" w:rsidRPr="00000000">
        <w:rPr>
          <w:color w:val="1f1f1f"/>
          <w:rtl w:val="0"/>
        </w:rPr>
        <w:t xml:space="preserve">: On pourrait proposer d'étudier la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texture et la composition minéralogique précise</w:t>
      </w:r>
      <w:r w:rsidDel="00000000" w:rsidR="00000000" w:rsidRPr="00000000">
        <w:rPr>
          <w:color w:val="1f1f1f"/>
          <w:rtl w:val="0"/>
        </w:rPr>
        <w:t xml:space="preserve"> (indices de pression/température) 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Les granites de collision (Guéret) sont souvent associés à un métamorphisme régional intense et présentent des indices de forte pression.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Les granites d'extension (Aigoual) peuvent être associés à des bassins sédimentaires d'effondrement et des failles normales.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La phrase clé pour la fiabilité :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color w:val="1f1f1f"/>
          <w:rtl w:val="0"/>
        </w:rPr>
        <w:t xml:space="preserve">La distinction entre les étapes de l'orogenèse repose sur la confrontation rigoureuse des âges absolus obtenus par isochrone Rb/Sr, permettant de situer précisément la cristallisation magmatique soit dans le contexte de compression syn-collision, soit dans celui de l'extension post-orogénique.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