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7A8E9" w14:textId="77777777" w:rsidR="00C747A4" w:rsidRDefault="00C747A4" w:rsidP="00C747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Partie A : Appropriation du contexte et activité pratique (durée recommandée : 30 minutes)</w:t>
      </w:r>
    </w:p>
    <w:p w14:paraId="6FC7B3E8" w14:textId="77777777" w:rsidR="00C747A4" w:rsidRPr="00C747A4" w:rsidRDefault="00C747A4" w:rsidP="00C747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</w:pPr>
    </w:p>
    <w:p w14:paraId="5B4DAD23" w14:textId="77777777" w:rsidR="00C747A4" w:rsidRPr="00C747A4" w:rsidRDefault="00C747A4" w:rsidP="00C747A4">
      <w:pPr>
        <w:autoSpaceDE w:val="0"/>
        <w:autoSpaceDN w:val="0"/>
        <w:adjustRightInd w:val="0"/>
        <w:spacing w:after="240" w:line="240" w:lineRule="auto"/>
      </w:pPr>
      <w:r w:rsidRPr="00C747A4">
        <w:t xml:space="preserve">On réalise une préparation microscopique avec un morceau de cervelle de mouton coloré au bleu de méthylène (colore les cellules nerveuses afin de mieux observer leurs structures).  </w:t>
      </w:r>
    </w:p>
    <w:p w14:paraId="4DF7FA18" w14:textId="2039B2F7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37536" wp14:editId="0ADDA718">
                <wp:simplePos x="0" y="0"/>
                <wp:positionH relativeFrom="column">
                  <wp:posOffset>910590</wp:posOffset>
                </wp:positionH>
                <wp:positionV relativeFrom="paragraph">
                  <wp:posOffset>2264410</wp:posOffset>
                </wp:positionV>
                <wp:extent cx="3810000" cy="635"/>
                <wp:effectExtent l="0" t="0" r="0" b="12065"/>
                <wp:wrapNone/>
                <wp:docPr id="19069962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2794E" w14:textId="25F31E8A" w:rsidR="00C747A4" w:rsidRPr="00D91128" w:rsidRDefault="00C747A4" w:rsidP="00C747A4">
                            <w:pPr>
                              <w:pStyle w:val="Lgende"/>
                              <w:jc w:val="center"/>
                              <w:rPr>
                                <w:rFonts w:ascii="Times-Roman" w:hAnsi="Times-Roman" w:cs="Times-Roman"/>
                                <w:color w:val="000000"/>
                                <w:kern w:val="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A028D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Méthodologie de la création d'une lame microscopique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93753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1.7pt;margin-top:178.3pt;width:300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" stroked="f">
                <v:textbox style="mso-fit-shape-to-text:t" inset="0,0,0,0">
                  <w:txbxContent>
                    <w:p w14:paraId="1542794E" w14:textId="25F31E8A" w:rsidR="00C747A4" w:rsidRPr="00D91128" w:rsidRDefault="00C747A4" w:rsidP="00C747A4">
                      <w:pPr>
                        <w:pStyle w:val="Lgende"/>
                        <w:jc w:val="center"/>
                        <w:rPr>
                          <w:rFonts w:ascii="Times-Roman" w:hAnsi="Times-Roman" w:cs="Times-Roman"/>
                          <w:color w:val="000000"/>
                          <w:kern w:val="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A028D8">
                          <w:rPr>
                            <w:noProof/>
                          </w:rPr>
                          <w:t>1</w:t>
                        </w:r>
                      </w:fldSimple>
                      <w:r>
                        <w:t>: Méthodologie de la création d'une lame microscopique</w:t>
                      </w:r>
                    </w:p>
                  </w:txbxContent>
                </v:textbox>
              </v:shape>
            </w:pict>
          </mc:Fallback>
        </mc:AlternateContent>
      </w:r>
      <w:r w:rsidRPr="00C747A4">
        <w:rPr>
          <w:rFonts w:ascii="Times-Roman" w:hAnsi="Times-Roman" w:cs="Times-Roman"/>
          <w:color w:val="000000"/>
          <w:kern w:val="0"/>
        </w:rPr>
        <w:drawing>
          <wp:anchor distT="0" distB="0" distL="114300" distR="114300" simplePos="0" relativeHeight="251658240" behindDoc="0" locked="0" layoutInCell="1" allowOverlap="1" wp14:anchorId="15D648A7" wp14:editId="01BFA2D0">
            <wp:simplePos x="0" y="0"/>
            <wp:positionH relativeFrom="column">
              <wp:posOffset>910590</wp:posOffset>
            </wp:positionH>
            <wp:positionV relativeFrom="paragraph">
              <wp:posOffset>35560</wp:posOffset>
            </wp:positionV>
            <wp:extent cx="3810000" cy="2171700"/>
            <wp:effectExtent l="0" t="0" r="0" b="0"/>
            <wp:wrapNone/>
            <wp:docPr id="1527764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6405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5784" w14:textId="54A06726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352432E7" w14:textId="45BF7B41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48C19A7D" w14:textId="77777777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46508DB1" w14:textId="77777777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3085D3AF" w14:textId="77777777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06C03AEB" w14:textId="77777777" w:rsidR="00C747A4" w:rsidRDefault="00C747A4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36E2D004" w14:textId="77777777" w:rsidR="006C668F" w:rsidRDefault="006C668F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75D4825F" w14:textId="77777777" w:rsidR="006C668F" w:rsidRDefault="006C668F" w:rsidP="006C668F">
      <w:pPr>
        <w:pStyle w:val="p1"/>
      </w:pPr>
      <w:r w:rsidRPr="00C747A4">
        <w:t>Avec le logic</w:t>
      </w:r>
      <w:r>
        <w:t>i</w:t>
      </w:r>
      <w:r w:rsidRPr="00C747A4">
        <w:t xml:space="preserve">el de modélisation moléculaire, on observe le fichier </w:t>
      </w:r>
      <w:r w:rsidRPr="00C747A4">
        <w:rPr>
          <w:i/>
          <w:iCs/>
        </w:rPr>
        <w:t>« Recepteur_plus_anandamide.pdb »</w:t>
      </w:r>
      <w:r w:rsidRPr="00C747A4">
        <w:t> </w:t>
      </w:r>
      <w:r>
        <w:t>et « Recepteur_plus_THC.pdb. » (voir fiche méthodologie en annexe)</w:t>
      </w:r>
    </w:p>
    <w:p w14:paraId="1A78F981" w14:textId="2D7458B7" w:rsidR="006C668F" w:rsidRDefault="006C668F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</w:p>
    <w:p w14:paraId="1916A536" w14:textId="4E76A04F" w:rsidR="00C747A4" w:rsidRPr="006C668F" w:rsidRDefault="006C668F" w:rsidP="006C668F">
      <w:pPr>
        <w:pStyle w:val="p1"/>
        <w:rPr>
          <w:b/>
          <w:bCs/>
          <w:sz w:val="24"/>
          <w:szCs w:val="24"/>
        </w:rPr>
      </w:pPr>
      <w:r w:rsidRPr="006C668F">
        <w:rPr>
          <w:b/>
          <w:bCs/>
          <w:sz w:val="24"/>
          <w:szCs w:val="24"/>
        </w:rPr>
        <w:t>Partie B : Communication des résultats, poursuite de la stratégie et conclusion (durée recommandée : 30 minutes</w:t>
      </w:r>
      <w:r>
        <w:rPr>
          <w:b/>
          <w:bCs/>
          <w:sz w:val="24"/>
          <w:szCs w:val="24"/>
        </w:rPr>
        <w:t>)</w:t>
      </w:r>
      <w:r w:rsidRPr="00C747A4">
        <w:drawing>
          <wp:anchor distT="0" distB="0" distL="114300" distR="114300" simplePos="0" relativeHeight="251661312" behindDoc="0" locked="0" layoutInCell="1" allowOverlap="1" wp14:anchorId="336E20FA" wp14:editId="333B3D3A">
            <wp:simplePos x="0" y="0"/>
            <wp:positionH relativeFrom="column">
              <wp:posOffset>1789084</wp:posOffset>
            </wp:positionH>
            <wp:positionV relativeFrom="paragraph">
              <wp:posOffset>432493</wp:posOffset>
            </wp:positionV>
            <wp:extent cx="2431415" cy="1809750"/>
            <wp:effectExtent l="0" t="0" r="0" b="6350"/>
            <wp:wrapNone/>
            <wp:docPr id="902404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0410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A4" w:rsidRPr="00C747A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0E012" wp14:editId="7F5211C6">
                <wp:simplePos x="0" y="0"/>
                <wp:positionH relativeFrom="column">
                  <wp:posOffset>0</wp:posOffset>
                </wp:positionH>
                <wp:positionV relativeFrom="paragraph">
                  <wp:posOffset>2329815</wp:posOffset>
                </wp:positionV>
                <wp:extent cx="5972810" cy="635"/>
                <wp:effectExtent l="0" t="0" r="0" b="12065"/>
                <wp:wrapNone/>
                <wp:docPr id="6091103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CB4E3E" w14:textId="7CA15BEE" w:rsidR="00C747A4" w:rsidRPr="00917EE3" w:rsidRDefault="00C747A4" w:rsidP="00C747A4">
                            <w:pPr>
                              <w:pStyle w:val="Lgende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A028D8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: </w:t>
                            </w:r>
                            <w:r w:rsidR="006C668F">
                              <w:t>O</w:t>
                            </w:r>
                            <w:r>
                              <w:t>bservation microscopique (après coloration au bleu de méthylène) de neurones</w:t>
                            </w:r>
                            <w:r w:rsidR="006C668F">
                              <w:t xml:space="preserve"> (indiquer l’origine et le grossissement)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0E012" id="_x0000_s1027" type="#_x0000_t202" style="position:absolute;margin-left:0;margin-top:183.45pt;width:470.3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" stroked="f">
                <v:textbox style="mso-fit-shape-to-text:t" inset="0,0,0,0">
                  <w:txbxContent>
                    <w:p w14:paraId="61CB4E3E" w14:textId="7CA15BEE" w:rsidR="00C747A4" w:rsidRPr="00917EE3" w:rsidRDefault="00C747A4" w:rsidP="00C747A4">
                      <w:pPr>
                        <w:pStyle w:val="Lgende"/>
                        <w:jc w:val="center"/>
                      </w:pPr>
                      <w:r>
                        <w:t xml:space="preserve">Figure </w:t>
                      </w:r>
                      <w:fldSimple w:instr=" SEQ Figure \* ARABIC ">
                        <w:r w:rsidR="00A028D8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: </w:t>
                      </w:r>
                      <w:r w:rsidR="006C668F">
                        <w:t>O</w:t>
                      </w:r>
                      <w:r>
                        <w:t>bservation microscopique (après coloration au bleu de méthylène) de neurones</w:t>
                      </w:r>
                      <w:r w:rsidR="006C668F">
                        <w:t xml:space="preserve"> (indiquer l’origine et le grossissement)</w:t>
                      </w:r>
                    </w:p>
                  </w:txbxContent>
                </v:textbox>
              </v:shape>
            </w:pict>
          </mc:Fallback>
        </mc:AlternateContent>
      </w:r>
      <w:r w:rsidR="00C747A4" w:rsidRPr="00C747A4">
        <w:t xml:space="preserve">  </w:t>
      </w:r>
    </w:p>
    <w:p w14:paraId="36ADC78E" w14:textId="5A109AFB" w:rsidR="006C668F" w:rsidRPr="00C747A4" w:rsidRDefault="006C668F" w:rsidP="00C747A4">
      <w:pPr>
        <w:autoSpaceDE w:val="0"/>
        <w:autoSpaceDN w:val="0"/>
        <w:adjustRightInd w:val="0"/>
        <w:spacing w:after="240" w:line="240" w:lineRule="auto"/>
      </w:pPr>
    </w:p>
    <w:p w14:paraId="14CCCAC8" w14:textId="611429F8" w:rsidR="00C747A4" w:rsidRDefault="006C668F" w:rsidP="00C747A4">
      <w:pPr>
        <w:autoSpaceDE w:val="0"/>
        <w:autoSpaceDN w:val="0"/>
        <w:adjustRightInd w:val="0"/>
        <w:spacing w:after="240" w:line="240" w:lineRule="auto"/>
        <w:rPr>
          <w:rFonts w:ascii="Times-Roman" w:hAnsi="Times-Roman" w:cs="Times-Roman"/>
          <w:color w:val="000000"/>
          <w:kern w:val="0"/>
        </w:rPr>
      </w:pPr>
      <w:r>
        <w:rPr>
          <w:b/>
          <w:bCs/>
          <w:i/>
          <w:i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6484A" wp14:editId="344A7070">
                <wp:simplePos x="0" y="0"/>
                <wp:positionH relativeFrom="column">
                  <wp:posOffset>4554047</wp:posOffset>
                </wp:positionH>
                <wp:positionV relativeFrom="paragraph">
                  <wp:posOffset>155748</wp:posOffset>
                </wp:positionV>
                <wp:extent cx="1920240" cy="914400"/>
                <wp:effectExtent l="0" t="0" r="10160" b="12700"/>
                <wp:wrapNone/>
                <wp:docPr id="116633273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7454F" w14:textId="09D22321" w:rsidR="006C668F" w:rsidRDefault="006C668F" w:rsidP="006C668F">
                            <w:pPr>
                              <w:jc w:val="center"/>
                            </w:pPr>
                            <w:r>
                              <w:t xml:space="preserve">Ajouter les légendes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484A" id="Zone de texte 2" o:spid="_x0000_s1028" type="#_x0000_t202" style="position:absolute;margin-left:358.6pt;margin-top:12.25pt;width:151.2pt;height:1in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" fillcolor="white [3201]" strokeweight=".5pt">
                <v:textbox>
                  <w:txbxContent>
                    <w:p w14:paraId="4F57454F" w14:textId="09D22321" w:rsidR="006C668F" w:rsidRDefault="006C668F" w:rsidP="006C668F">
                      <w:pPr>
                        <w:jc w:val="center"/>
                      </w:pPr>
                      <w:r>
                        <w:t xml:space="preserve">Ajouter les légendes </w:t>
                      </w:r>
                    </w:p>
                  </w:txbxContent>
                </v:textbox>
              </v:shape>
            </w:pict>
          </mc:Fallback>
        </mc:AlternateContent>
      </w:r>
    </w:p>
    <w:p w14:paraId="0804265B" w14:textId="50D1161E" w:rsidR="00C81CF9" w:rsidRDefault="00C747A4" w:rsidP="00C747A4">
      <w:pPr>
        <w:tabs>
          <w:tab w:val="left" w:pos="5760"/>
        </w:tabs>
      </w:pPr>
      <w:r>
        <w:tab/>
      </w:r>
    </w:p>
    <w:p w14:paraId="6DD02C7E" w14:textId="12D0CD09" w:rsidR="006C668F" w:rsidRDefault="006C668F" w:rsidP="00C747A4">
      <w:pPr>
        <w:tabs>
          <w:tab w:val="left" w:pos="5760"/>
        </w:tabs>
      </w:pPr>
    </w:p>
    <w:p w14:paraId="59ADE0D7" w14:textId="77777777" w:rsidR="00C747A4" w:rsidRDefault="00C747A4" w:rsidP="00C747A4">
      <w:pPr>
        <w:tabs>
          <w:tab w:val="left" w:pos="5760"/>
        </w:tabs>
      </w:pPr>
    </w:p>
    <w:p w14:paraId="168499DA" w14:textId="355249F5" w:rsidR="00C747A4" w:rsidRDefault="00C747A4" w:rsidP="00C747A4">
      <w:pPr>
        <w:tabs>
          <w:tab w:val="left" w:pos="5760"/>
        </w:tabs>
      </w:pPr>
    </w:p>
    <w:p w14:paraId="467CA7D5" w14:textId="77777777" w:rsidR="00C747A4" w:rsidRDefault="00C747A4" w:rsidP="00C747A4">
      <w:pPr>
        <w:tabs>
          <w:tab w:val="left" w:pos="5760"/>
        </w:tabs>
      </w:pPr>
    </w:p>
    <w:p w14:paraId="181354E4" w14:textId="68F8B7A7" w:rsidR="006C668F" w:rsidRPr="00C747A4" w:rsidRDefault="006C668F" w:rsidP="00C747A4">
      <w:pPr>
        <w:tabs>
          <w:tab w:val="left" w:pos="5760"/>
        </w:tabs>
      </w:pPr>
    </w:p>
    <w:p w14:paraId="21B59C65" w14:textId="0FCAEA4D" w:rsidR="006C668F" w:rsidRPr="006C668F" w:rsidRDefault="006C668F" w:rsidP="006C668F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  <w:r w:rsidRPr="006C668F">
        <w:rPr>
          <w:b/>
          <w:bCs/>
          <w:i/>
          <w:iCs/>
          <w:color w:val="C00000"/>
        </w:rPr>
        <w:t>Au microscope, on distingue des corps cellulaires de neurones (intégration des informations) et des prolongements cellulaires (dendrites et axones).</w:t>
      </w:r>
      <w:r w:rsidRPr="006C668F">
        <w:rPr>
          <w:b/>
          <w:bCs/>
          <w:i/>
          <w:iCs/>
          <w:color w:val="C00000"/>
        </w:rPr>
        <w:t xml:space="preserve"> </w:t>
      </w:r>
      <w:r w:rsidR="00C747A4" w:rsidRPr="006C668F">
        <w:rPr>
          <w:b/>
          <w:bCs/>
          <w:i/>
          <w:iCs/>
          <w:color w:val="C00000"/>
        </w:rPr>
        <w:t>Les neurones communiquent entre eux grâce à des molécules chimiques appelées neurotransmetteurs</w:t>
      </w:r>
      <w:r w:rsidR="00C747A4" w:rsidRPr="006C668F">
        <w:rPr>
          <w:b/>
          <w:bCs/>
          <w:i/>
          <w:iCs/>
          <w:color w:val="C00000"/>
        </w:rPr>
        <w:t xml:space="preserve"> au niveau des synapse</w:t>
      </w:r>
      <w:r>
        <w:rPr>
          <w:b/>
          <w:bCs/>
          <w:i/>
          <w:iCs/>
          <w:color w:val="C00000"/>
        </w:rPr>
        <w:t>s</w:t>
      </w:r>
    </w:p>
    <w:p w14:paraId="6427EAB5" w14:textId="36CC9245" w:rsidR="00C747A4" w:rsidRDefault="00DA2441" w:rsidP="00DA2441">
      <w:pPr>
        <w:tabs>
          <w:tab w:val="left" w:pos="5760"/>
        </w:tabs>
        <w:rPr>
          <w:b/>
          <w:bCs/>
          <w:i/>
          <w:iCs/>
          <w:color w:val="C00000"/>
        </w:rPr>
      </w:pPr>
      <w:r>
        <w:rPr>
          <w:b/>
          <w:bCs/>
          <w:i/>
          <w:i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9ACA2" wp14:editId="735211FB">
                <wp:simplePos x="0" y="0"/>
                <wp:positionH relativeFrom="column">
                  <wp:posOffset>4776765</wp:posOffset>
                </wp:positionH>
                <wp:positionV relativeFrom="paragraph">
                  <wp:posOffset>4865370</wp:posOffset>
                </wp:positionV>
                <wp:extent cx="1920240" cy="914400"/>
                <wp:effectExtent l="0" t="0" r="10160" b="12700"/>
                <wp:wrapNone/>
                <wp:docPr id="189961935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748A0" w14:textId="183FE8AC" w:rsidR="00DA2441" w:rsidRDefault="00DA2441" w:rsidP="00DA2441">
                            <w:pPr>
                              <w:jc w:val="center"/>
                            </w:pPr>
                            <w:r>
                              <w:t>Ici, le récepteur à l’anandamide est coloré en gris et</w:t>
                            </w:r>
                            <w:r>
                              <w:t xml:space="preserve"> le THC </w:t>
                            </w:r>
                            <w:r>
                              <w:t>en 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ACA2" id="_x0000_s1029" type="#_x0000_t202" style="position:absolute;margin-left:376.1pt;margin-top:383.1pt;width:151.2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" fillcolor="white [3201]" strokeweight=".5pt">
                <v:textbox>
                  <w:txbxContent>
                    <w:p w14:paraId="1BC748A0" w14:textId="183FE8AC" w:rsidR="00DA2441" w:rsidRDefault="00DA2441" w:rsidP="00DA2441">
                      <w:pPr>
                        <w:jc w:val="center"/>
                      </w:pPr>
                      <w:r>
                        <w:t>Ici, le récepteur à l’anandamide est coloré en gris et</w:t>
                      </w:r>
                      <w:r>
                        <w:t xml:space="preserve"> le THC </w:t>
                      </w:r>
                      <w:r>
                        <w:t>en rose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94E089" wp14:editId="04D9D9E5">
                <wp:simplePos x="0" y="0"/>
                <wp:positionH relativeFrom="column">
                  <wp:posOffset>-679450</wp:posOffset>
                </wp:positionH>
                <wp:positionV relativeFrom="paragraph">
                  <wp:posOffset>7202170</wp:posOffset>
                </wp:positionV>
                <wp:extent cx="5449570" cy="635"/>
                <wp:effectExtent l="0" t="0" r="0" b="12065"/>
                <wp:wrapNone/>
                <wp:docPr id="21299405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BE770F" w14:textId="3488E176" w:rsidR="00DA2441" w:rsidRPr="006D6280" w:rsidRDefault="00DA2441" w:rsidP="00DA2441">
                            <w:pPr>
                              <w:pStyle w:val="Lgende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</w:pPr>
                            <w:r w:rsidRPr="00E3018A">
                              <w:t>Figure</w:t>
                            </w:r>
                            <w:r>
                              <w:t xml:space="preserve"> 4 </w:t>
                            </w:r>
                            <w:r w:rsidRPr="00E3018A">
                              <w:t xml:space="preserve">: Modélisation du récepteur à l'Anandamide en présence </w:t>
                            </w:r>
                            <w:r>
                              <w:t>de THC</w:t>
                            </w:r>
                            <w:r w:rsidRPr="00E3018A">
                              <w:t xml:space="preserve"> via LIBMOL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4E089" id="_x0000_s1030" type="#_x0000_t202" style="position:absolute;margin-left:-53.5pt;margin-top:567.1pt;width:429.1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" stroked="f">
                <v:textbox style="mso-fit-shape-to-text:t" inset="0,0,0,0">
                  <w:txbxContent>
                    <w:p w14:paraId="64BE770F" w14:textId="3488E176" w:rsidR="00DA2441" w:rsidRPr="006D6280" w:rsidRDefault="00DA2441" w:rsidP="00DA2441">
                      <w:pPr>
                        <w:pStyle w:val="Lgende"/>
                        <w:jc w:val="center"/>
                        <w:rPr>
                          <w:b/>
                          <w:bCs/>
                          <w:noProof/>
                          <w:color w:val="C00000"/>
                        </w:rPr>
                      </w:pPr>
                      <w:r w:rsidRPr="00E3018A">
                        <w:t>Figure</w:t>
                      </w:r>
                      <w:r>
                        <w:t xml:space="preserve"> 4 </w:t>
                      </w:r>
                      <w:r w:rsidRPr="00E3018A">
                        <w:t xml:space="preserve">: Modélisation du récepteur à l'Anandamide en présence </w:t>
                      </w:r>
                      <w:r>
                        <w:t>de THC</w:t>
                      </w:r>
                      <w:r w:rsidRPr="00E3018A">
                        <w:t xml:space="preserve"> via LIBMOL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color w:val="C00000"/>
        </w:rPr>
        <w:drawing>
          <wp:anchor distT="0" distB="0" distL="114300" distR="114300" simplePos="0" relativeHeight="251668480" behindDoc="1" locked="0" layoutInCell="1" allowOverlap="1" wp14:anchorId="58DB2739" wp14:editId="74B5742E">
            <wp:simplePos x="0" y="0"/>
            <wp:positionH relativeFrom="column">
              <wp:posOffset>-679704</wp:posOffset>
            </wp:positionH>
            <wp:positionV relativeFrom="paragraph">
              <wp:posOffset>3718179</wp:posOffset>
            </wp:positionV>
            <wp:extent cx="5449824" cy="3427095"/>
            <wp:effectExtent l="0" t="0" r="0" b="1905"/>
            <wp:wrapNone/>
            <wp:docPr id="18493375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37521" name="Image 18493375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r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24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8C58E" wp14:editId="7FFFF082">
                <wp:simplePos x="0" y="0"/>
                <wp:positionH relativeFrom="column">
                  <wp:posOffset>4769485</wp:posOffset>
                </wp:positionH>
                <wp:positionV relativeFrom="paragraph">
                  <wp:posOffset>1019175</wp:posOffset>
                </wp:positionV>
                <wp:extent cx="1920240" cy="914400"/>
                <wp:effectExtent l="0" t="0" r="10160" b="12700"/>
                <wp:wrapNone/>
                <wp:docPr id="126014245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7D298" w14:textId="77777777" w:rsidR="006C668F" w:rsidRDefault="00DA2441" w:rsidP="006C668F">
                            <w:pPr>
                              <w:jc w:val="center"/>
                            </w:pPr>
                            <w:r>
                              <w:t xml:space="preserve">Ici, le récepteur à l’anandamide est coloré en gris et l’anandamide en </w:t>
                            </w:r>
                            <w:r w:rsidR="006C668F">
                              <w:t>rose</w:t>
                            </w:r>
                          </w:p>
                          <w:p w14:paraId="4635BA89" w14:textId="0206D4F5" w:rsidR="00DA2441" w:rsidRDefault="00DA2441" w:rsidP="00DA2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C58E" id="_x0000_s1031" type="#_x0000_t202" style="position:absolute;margin-left:375.55pt;margin-top:80.25pt;width:151.2pt;height:1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" fillcolor="white [3201]" strokeweight=".5pt">
                <v:textbox>
                  <w:txbxContent>
                    <w:p w14:paraId="3867D298" w14:textId="77777777" w:rsidR="006C668F" w:rsidRDefault="00DA2441" w:rsidP="006C668F">
                      <w:pPr>
                        <w:jc w:val="center"/>
                      </w:pPr>
                      <w:r>
                        <w:t xml:space="preserve">Ici, le récepteur à l’anandamide est coloré en gris et l’anandamide en </w:t>
                      </w:r>
                      <w:r w:rsidR="006C668F">
                        <w:t>rose</w:t>
                      </w:r>
                    </w:p>
                    <w:p w14:paraId="4635BA89" w14:textId="0206D4F5" w:rsidR="00DA2441" w:rsidRDefault="00DA2441" w:rsidP="00DA24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74F6D" wp14:editId="15C04EA9">
                <wp:simplePos x="0" y="0"/>
                <wp:positionH relativeFrom="column">
                  <wp:posOffset>-682625</wp:posOffset>
                </wp:positionH>
                <wp:positionV relativeFrom="paragraph">
                  <wp:posOffset>3453765</wp:posOffset>
                </wp:positionV>
                <wp:extent cx="5234940" cy="635"/>
                <wp:effectExtent l="0" t="0" r="0" b="12065"/>
                <wp:wrapNone/>
                <wp:docPr id="175664351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BCA8DF" w14:textId="0B9866B9" w:rsidR="00DA2441" w:rsidRPr="00F81AD6" w:rsidRDefault="00DA2441" w:rsidP="00DA2441">
                            <w:pPr>
                              <w:pStyle w:val="Lgende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</w:pPr>
                            <w:r>
                              <w:t xml:space="preserve">Figure </w:t>
                            </w:r>
                            <w:proofErr w:type="gramStart"/>
                            <w:r>
                              <w:t>3:</w:t>
                            </w:r>
                            <w:proofErr w:type="gramEnd"/>
                            <w:r>
                              <w:t xml:space="preserve"> Modélisation du récepteur à l'Anandamide en présence d'Anandamide via LIBMOL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74F6D" id="_x0000_s1032" type="#_x0000_t202" style="position:absolute;margin-left:-53.75pt;margin-top:271.95pt;width:412.2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" stroked="f">
                <v:textbox style="mso-fit-shape-to-text:t" inset="0,0,0,0">
                  <w:txbxContent>
                    <w:p w14:paraId="6BBCA8DF" w14:textId="0B9866B9" w:rsidR="00DA2441" w:rsidRPr="00F81AD6" w:rsidRDefault="00DA2441" w:rsidP="00DA2441">
                      <w:pPr>
                        <w:pStyle w:val="Lgende"/>
                        <w:jc w:val="center"/>
                        <w:rPr>
                          <w:b/>
                          <w:bCs/>
                          <w:noProof/>
                          <w:color w:val="C00000"/>
                        </w:rPr>
                      </w:pPr>
                      <w:r>
                        <w:t xml:space="preserve">Figure </w:t>
                      </w:r>
                      <w:proofErr w:type="gramStart"/>
                      <w:r>
                        <w:t>3:</w:t>
                      </w:r>
                      <w:proofErr w:type="gramEnd"/>
                      <w:r>
                        <w:t xml:space="preserve"> Modélisation du récepteur à l'Anandamide en présence d'Anandamide via LIBMOL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color w:val="C00000"/>
        </w:rPr>
        <w:drawing>
          <wp:anchor distT="0" distB="0" distL="114300" distR="114300" simplePos="0" relativeHeight="251664384" behindDoc="0" locked="0" layoutInCell="1" allowOverlap="1" wp14:anchorId="3290EC1A" wp14:editId="339EF8A4">
            <wp:simplePos x="0" y="0"/>
            <wp:positionH relativeFrom="column">
              <wp:posOffset>-682625</wp:posOffset>
            </wp:positionH>
            <wp:positionV relativeFrom="paragraph">
              <wp:posOffset>13335</wp:posOffset>
            </wp:positionV>
            <wp:extent cx="5234940" cy="3383280"/>
            <wp:effectExtent l="0" t="0" r="0" b="0"/>
            <wp:wrapNone/>
            <wp:docPr id="1846983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83149" name="Image 184698314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" t="11181" r="11588" b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C00000"/>
        </w:rPr>
        <w:t xml:space="preserve"> 4</w:t>
      </w:r>
    </w:p>
    <w:p w14:paraId="1EF6FAEC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4C4AEC3E" w14:textId="4C1F401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087E6B16" w14:textId="0A3D756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275F585E" w14:textId="1E124AFC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673E7E1E" w14:textId="76A7A5D0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3BB666A3" w14:textId="56A87E8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279BF542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56C65827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73C274AF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485A0240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05E99121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50B7E4F2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09B4205F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6C187EE0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58173A11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5108A0E9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6F57C7A6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486C3DD2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5753D30C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7E6E5A81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245DB61E" w14:textId="77777777" w:rsidR="00DA2441" w:rsidRDefault="00DA2441" w:rsidP="00C747A4">
      <w:pPr>
        <w:tabs>
          <w:tab w:val="left" w:pos="5760"/>
        </w:tabs>
        <w:jc w:val="center"/>
        <w:rPr>
          <w:b/>
          <w:bCs/>
          <w:i/>
          <w:iCs/>
          <w:color w:val="C00000"/>
        </w:rPr>
      </w:pPr>
    </w:p>
    <w:p w14:paraId="4D1A2AA8" w14:textId="77777777" w:rsidR="00DA2441" w:rsidRDefault="00DA2441" w:rsidP="00DA2441">
      <w:pPr>
        <w:tabs>
          <w:tab w:val="left" w:pos="5760"/>
        </w:tabs>
        <w:rPr>
          <w:b/>
          <w:bCs/>
          <w:i/>
          <w:iCs/>
          <w:color w:val="C00000"/>
        </w:rPr>
      </w:pPr>
    </w:p>
    <w:p w14:paraId="4377B301" w14:textId="1B13D168" w:rsidR="00DA2441" w:rsidRDefault="00DA2441" w:rsidP="00DA2441">
      <w:pPr>
        <w:pStyle w:val="NormalWeb"/>
        <w:jc w:val="center"/>
        <w:rPr>
          <w:rFonts w:asciiTheme="minorHAnsi" w:hAnsiTheme="minorHAnsi"/>
          <w:b/>
          <w:bCs/>
          <w:i/>
          <w:iCs/>
          <w:color w:val="C00000"/>
        </w:rPr>
      </w:pPr>
      <w:r w:rsidRPr="00DA2441">
        <w:rPr>
          <w:rFonts w:asciiTheme="minorHAnsi" w:hAnsiTheme="minorHAnsi"/>
          <w:b/>
          <w:bCs/>
          <w:i/>
          <w:iCs/>
          <w:color w:val="C00000"/>
        </w:rPr>
        <w:t>Le THC peut donc prendre la place de l’anandamide sur son récepteur</w:t>
      </w:r>
      <w:r w:rsidRPr="00DA2441">
        <w:rPr>
          <w:rFonts w:asciiTheme="minorHAnsi" w:hAnsiTheme="minorHAnsi"/>
          <w:b/>
          <w:bCs/>
          <w:i/>
          <w:iCs/>
          <w:color w:val="C00000"/>
        </w:rPr>
        <w:t xml:space="preserve">, il </w:t>
      </w:r>
      <w:r w:rsidR="006C668F">
        <w:rPr>
          <w:rFonts w:asciiTheme="minorHAnsi" w:hAnsiTheme="minorHAnsi"/>
          <w:b/>
          <w:bCs/>
          <w:i/>
          <w:iCs/>
          <w:color w:val="C00000"/>
        </w:rPr>
        <w:t xml:space="preserve">peut </w:t>
      </w:r>
      <w:r w:rsidRPr="00DA2441">
        <w:rPr>
          <w:rFonts w:asciiTheme="minorHAnsi" w:hAnsiTheme="minorHAnsi"/>
          <w:b/>
          <w:bCs/>
          <w:i/>
          <w:iCs/>
          <w:color w:val="C00000"/>
        </w:rPr>
        <w:t>agi</w:t>
      </w:r>
      <w:r w:rsidR="006C668F">
        <w:rPr>
          <w:rFonts w:asciiTheme="minorHAnsi" w:hAnsiTheme="minorHAnsi"/>
          <w:b/>
          <w:bCs/>
          <w:i/>
          <w:iCs/>
          <w:color w:val="C00000"/>
        </w:rPr>
        <w:t xml:space="preserve">r </w:t>
      </w:r>
      <w:r w:rsidRPr="00DA2441">
        <w:rPr>
          <w:rFonts w:asciiTheme="minorHAnsi" w:hAnsiTheme="minorHAnsi"/>
          <w:b/>
          <w:bCs/>
          <w:i/>
          <w:iCs/>
          <w:color w:val="C00000"/>
        </w:rPr>
        <w:t>comme l’anandamide</w:t>
      </w:r>
    </w:p>
    <w:p w14:paraId="64AFE6CB" w14:textId="77777777" w:rsidR="00A028D8" w:rsidRDefault="00A028D8" w:rsidP="00DA2441">
      <w:pPr>
        <w:pStyle w:val="NormalWeb"/>
        <w:jc w:val="center"/>
        <w:rPr>
          <w:rFonts w:asciiTheme="minorHAnsi" w:hAnsiTheme="minorHAnsi"/>
          <w:b/>
          <w:bCs/>
          <w:i/>
          <w:iCs/>
          <w:color w:val="C00000"/>
        </w:rPr>
      </w:pPr>
    </w:p>
    <w:p w14:paraId="3FAC3ABF" w14:textId="77777777" w:rsidR="00A028D8" w:rsidRPr="006C668F" w:rsidRDefault="00A028D8" w:rsidP="00A028D8">
      <w:pPr>
        <w:spacing w:before="100" w:beforeAutospacing="1" w:after="100" w:afterAutospacing="1" w:line="240" w:lineRule="auto"/>
        <w:rPr>
          <w:lang w:eastAsia="fr-FR"/>
        </w:rPr>
      </w:pPr>
      <w:r w:rsidRPr="006C668F">
        <w:rPr>
          <w:lang w:eastAsia="fr-FR"/>
        </w:rPr>
        <w:lastRenderedPageBreak/>
        <w:t>Pour confirmer l’action du THC, on pourrait :</w:t>
      </w:r>
    </w:p>
    <w:p w14:paraId="4D568588" w14:textId="77777777" w:rsidR="00A028D8" w:rsidRPr="006C668F" w:rsidRDefault="00A028D8" w:rsidP="00A028D8">
      <w:pPr>
        <w:numPr>
          <w:ilvl w:val="0"/>
          <w:numId w:val="7"/>
        </w:numPr>
        <w:spacing w:before="100" w:beforeAutospacing="1" w:after="100" w:afterAutospacing="1" w:line="240" w:lineRule="auto"/>
        <w:rPr>
          <w:lang w:eastAsia="fr-FR"/>
        </w:rPr>
      </w:pPr>
      <w:r w:rsidRPr="006C668F">
        <w:rPr>
          <w:lang w:eastAsia="fr-FR"/>
        </w:rPr>
        <w:t>mesurer la quantité de dopamine libérée ;</w:t>
      </w:r>
    </w:p>
    <w:p w14:paraId="0B4D8B93" w14:textId="77777777" w:rsidR="00A028D8" w:rsidRPr="006C668F" w:rsidRDefault="00A028D8" w:rsidP="00A028D8">
      <w:pPr>
        <w:numPr>
          <w:ilvl w:val="0"/>
          <w:numId w:val="7"/>
        </w:numPr>
        <w:spacing w:before="100" w:beforeAutospacing="1" w:after="100" w:afterAutospacing="1" w:line="240" w:lineRule="auto"/>
        <w:rPr>
          <w:lang w:eastAsia="fr-FR"/>
        </w:rPr>
      </w:pPr>
      <w:r w:rsidRPr="006C668F">
        <w:rPr>
          <w:lang w:eastAsia="fr-FR"/>
        </w:rPr>
        <w:t>comparer :</w:t>
      </w:r>
    </w:p>
    <w:p w14:paraId="38F03FB9" w14:textId="77777777" w:rsidR="00A028D8" w:rsidRPr="006C668F" w:rsidRDefault="00A028D8" w:rsidP="00A028D8">
      <w:pPr>
        <w:numPr>
          <w:ilvl w:val="1"/>
          <w:numId w:val="7"/>
        </w:numPr>
        <w:spacing w:before="100" w:beforeAutospacing="1" w:after="100" w:afterAutospacing="1" w:line="240" w:lineRule="auto"/>
        <w:rPr>
          <w:lang w:eastAsia="fr-FR"/>
        </w:rPr>
      </w:pPr>
      <w:r w:rsidRPr="006C668F">
        <w:rPr>
          <w:lang w:eastAsia="fr-FR"/>
        </w:rPr>
        <w:t>un cerveau sans THC ;</w:t>
      </w:r>
    </w:p>
    <w:p w14:paraId="73C97452" w14:textId="77777777" w:rsidR="00A028D8" w:rsidRPr="006C668F" w:rsidRDefault="00A028D8" w:rsidP="00A028D8">
      <w:pPr>
        <w:numPr>
          <w:ilvl w:val="1"/>
          <w:numId w:val="7"/>
        </w:numPr>
        <w:spacing w:before="100" w:beforeAutospacing="1" w:after="100" w:afterAutospacing="1" w:line="240" w:lineRule="auto"/>
        <w:rPr>
          <w:lang w:eastAsia="fr-FR"/>
        </w:rPr>
      </w:pPr>
      <w:r w:rsidRPr="006C668F">
        <w:rPr>
          <w:lang w:eastAsia="fr-FR"/>
        </w:rPr>
        <w:t>un cerveau avec THC.</w:t>
      </w:r>
    </w:p>
    <w:p w14:paraId="7E0BC5BC" w14:textId="01E3DD81" w:rsidR="006C668F" w:rsidRDefault="00A028D8" w:rsidP="00A028D8">
      <w:pPr>
        <w:spacing w:before="100" w:beforeAutospacing="1" w:after="100" w:afterAutospacing="1" w:line="240" w:lineRule="auto"/>
        <w:jc w:val="center"/>
        <w:rPr>
          <w:b/>
          <w:bCs/>
          <w:i/>
          <w:iCs/>
          <w:color w:val="C00000"/>
          <w:lang w:eastAsia="fr-FR"/>
        </w:rPr>
      </w:pPr>
      <w:r w:rsidRPr="006C668F">
        <w:rPr>
          <w:b/>
          <w:bCs/>
          <w:i/>
          <w:iCs/>
          <w:color w:val="C00000"/>
          <w:lang w:eastAsia="fr-FR"/>
        </w:rPr>
        <w:t>Si la quantité de dopamine augmente avec le THC, cela confirmerait son action sur le circuit de la récompense.</w:t>
      </w:r>
    </w:p>
    <w:p w14:paraId="486E2846" w14:textId="74595E08" w:rsidR="00A028D8" w:rsidRPr="00A028D8" w:rsidRDefault="00A028D8" w:rsidP="00A028D8">
      <w:pPr>
        <w:spacing w:before="100" w:beforeAutospacing="1" w:after="100" w:afterAutospacing="1" w:line="240" w:lineRule="auto"/>
        <w:jc w:val="center"/>
        <w:rPr>
          <w:b/>
          <w:bCs/>
          <w:i/>
          <w:iCs/>
          <w:color w:val="000000" w:themeColor="text1"/>
          <w:lang w:eastAsia="fr-FR"/>
        </w:rPr>
      </w:pPr>
      <w:r w:rsidRPr="00A028D8">
        <w:rPr>
          <w:b/>
          <w:bCs/>
          <w:i/>
          <w:iCs/>
          <w:color w:val="000000" w:themeColor="text1"/>
          <w:lang w:eastAsia="fr-FR"/>
        </w:rPr>
        <w:t>Ressources complémentaires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6C668F" w14:paraId="40A1CEB2" w14:textId="77777777" w:rsidTr="006C668F">
        <w:tc>
          <w:tcPr>
            <w:tcW w:w="4698" w:type="dxa"/>
          </w:tcPr>
          <w:p w14:paraId="153E7047" w14:textId="40A39221" w:rsidR="006C668F" w:rsidRPr="006C668F" w:rsidRDefault="006C668F" w:rsidP="00C747A4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6C668F">
              <w:rPr>
                <w:b/>
                <w:bCs/>
                <w:i/>
                <w:iCs/>
                <w:color w:val="000000" w:themeColor="text1"/>
              </w:rPr>
              <w:t>DOCUMENTS</w:t>
            </w:r>
          </w:p>
        </w:tc>
        <w:tc>
          <w:tcPr>
            <w:tcW w:w="4698" w:type="dxa"/>
          </w:tcPr>
          <w:p w14:paraId="17660A32" w14:textId="2FE1D778" w:rsidR="006C668F" w:rsidRPr="006C668F" w:rsidRDefault="006C668F" w:rsidP="00C747A4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6C668F">
              <w:rPr>
                <w:b/>
                <w:bCs/>
                <w:i/>
                <w:iCs/>
                <w:color w:val="000000" w:themeColor="text1"/>
              </w:rPr>
              <w:t>INFORMATIONS</w:t>
            </w:r>
          </w:p>
        </w:tc>
      </w:tr>
      <w:tr w:rsidR="006C668F" w14:paraId="4D2DD06C" w14:textId="77777777" w:rsidTr="006C668F">
        <w:tc>
          <w:tcPr>
            <w:tcW w:w="4698" w:type="dxa"/>
            <w:vAlign w:val="center"/>
          </w:tcPr>
          <w:p w14:paraId="14679D93" w14:textId="77777777" w:rsidR="006C668F" w:rsidRDefault="006C668F" w:rsidP="006C668F">
            <w:pPr>
              <w:pStyle w:val="p1"/>
              <w:jc w:val="center"/>
              <w:rPr>
                <w:b/>
                <w:bCs/>
              </w:rPr>
            </w:pPr>
            <w:r w:rsidRPr="006C668F">
              <w:rPr>
                <w:b/>
                <w:bCs/>
              </w:rPr>
              <w:t xml:space="preserve">Neurotransmetteurs, neuromodulateurs et drogues </w:t>
            </w:r>
          </w:p>
          <w:p w14:paraId="1A8354CA" w14:textId="31175A24" w:rsidR="006C668F" w:rsidRPr="006C668F" w:rsidRDefault="006C668F" w:rsidP="006C668F">
            <w:pPr>
              <w:pStyle w:val="p1"/>
              <w:jc w:val="center"/>
              <w:rPr>
                <w:b/>
                <w:bCs/>
              </w:rPr>
            </w:pPr>
          </w:p>
        </w:tc>
        <w:tc>
          <w:tcPr>
            <w:tcW w:w="4698" w:type="dxa"/>
          </w:tcPr>
          <w:p w14:paraId="2C471477" w14:textId="441DF55C" w:rsidR="006C668F" w:rsidRPr="006C668F" w:rsidRDefault="006C668F" w:rsidP="006C668F">
            <w:pPr>
              <w:pStyle w:val="Paragraphedeliste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6C668F">
              <w:rPr>
                <w:color w:val="000000" w:themeColor="text1"/>
              </w:rPr>
              <w:t>les neurotransmetteurs agissent sur les neurones ;</w:t>
            </w:r>
          </w:p>
          <w:p w14:paraId="5C00808E" w14:textId="558FA6AB" w:rsidR="006C668F" w:rsidRPr="006C668F" w:rsidRDefault="006C668F" w:rsidP="006C668F">
            <w:pPr>
              <w:pStyle w:val="Paragraphedeliste"/>
              <w:numPr>
                <w:ilvl w:val="0"/>
                <w:numId w:val="2"/>
              </w:numPr>
              <w:tabs>
                <w:tab w:val="left" w:pos="5760"/>
              </w:tabs>
              <w:rPr>
                <w:color w:val="000000" w:themeColor="text1"/>
              </w:rPr>
            </w:pPr>
            <w:r w:rsidRPr="006C668F">
              <w:rPr>
                <w:color w:val="000000" w:themeColor="text1"/>
              </w:rPr>
              <w:t>certaines drogues se fixent sur des récepteurs neuronaux.</w:t>
            </w:r>
          </w:p>
          <w:p w14:paraId="75BC7674" w14:textId="77777777" w:rsidR="006C668F" w:rsidRPr="006C668F" w:rsidRDefault="006C668F" w:rsidP="006C668F">
            <w:pPr>
              <w:pStyle w:val="Paragraphedeliste"/>
              <w:numPr>
                <w:ilvl w:val="0"/>
                <w:numId w:val="2"/>
              </w:numPr>
              <w:tabs>
                <w:tab w:val="left" w:pos="5760"/>
              </w:tabs>
              <w:rPr>
                <w:i/>
                <w:iCs/>
                <w:color w:val="000000" w:themeColor="text1"/>
              </w:rPr>
            </w:pPr>
            <w:r w:rsidRPr="006C668F">
              <w:rPr>
                <w:color w:val="000000" w:themeColor="text1"/>
              </w:rPr>
              <w:t>l’anandamide inhibe la libération du GABA.</w:t>
            </w:r>
          </w:p>
          <w:p w14:paraId="0F1F7025" w14:textId="77777777" w:rsidR="006C668F" w:rsidRDefault="006C668F" w:rsidP="006C668F">
            <w:pPr>
              <w:tabs>
                <w:tab w:val="left" w:pos="5760"/>
              </w:tabs>
              <w:rPr>
                <w:rFonts w:ascii="-webkit-standard" w:hAnsi="-webkit-standard"/>
                <w:color w:val="000000"/>
                <w:sz w:val="27"/>
                <w:szCs w:val="27"/>
              </w:rPr>
            </w:pPr>
            <w:r w:rsidRPr="006C668F">
              <w:rPr>
                <w:color w:val="C00000"/>
              </w:rPr>
              <w:t xml:space="preserve">Comme le THC se fixe sur le récepteur de l’anandamide, il agit comme lui </w:t>
            </w:r>
            <w:r>
              <w:rPr>
                <w:color w:val="C00000"/>
              </w:rPr>
              <w:t xml:space="preserve"> </w:t>
            </w:r>
            <w:r w:rsidRPr="006C668F">
              <w:rPr>
                <w:color w:val="C00000"/>
              </w:rPr>
              <w:t>→ il diminue l’action du GABA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14:paraId="3B587FDB" w14:textId="1E5E536A" w:rsidR="006C668F" w:rsidRPr="006C668F" w:rsidRDefault="006C668F" w:rsidP="006C668F">
            <w:pPr>
              <w:tabs>
                <w:tab w:val="left" w:pos="5760"/>
              </w:tabs>
              <w:rPr>
                <w:i/>
                <w:iCs/>
                <w:color w:val="000000" w:themeColor="text1"/>
              </w:rPr>
            </w:pPr>
          </w:p>
        </w:tc>
      </w:tr>
      <w:tr w:rsidR="006C668F" w14:paraId="60706911" w14:textId="77777777" w:rsidTr="006C668F">
        <w:tc>
          <w:tcPr>
            <w:tcW w:w="4698" w:type="dxa"/>
            <w:vAlign w:val="center"/>
          </w:tcPr>
          <w:p w14:paraId="24F57F13" w14:textId="5B600490" w:rsidR="006C668F" w:rsidRPr="006C668F" w:rsidRDefault="006C668F" w:rsidP="006C668F">
            <w:pPr>
              <w:pStyle w:val="p1"/>
              <w:jc w:val="center"/>
              <w:rPr>
                <w:b/>
                <w:bCs/>
              </w:rPr>
            </w:pPr>
            <w:r w:rsidRPr="006C668F">
              <w:rPr>
                <w:b/>
                <w:bCs/>
              </w:rPr>
              <w:t xml:space="preserve">Le circuit de la récompense </w:t>
            </w:r>
          </w:p>
          <w:p w14:paraId="71A18D3B" w14:textId="77777777" w:rsidR="006C668F" w:rsidRPr="006C668F" w:rsidRDefault="006C668F" w:rsidP="006C668F">
            <w:pPr>
              <w:tabs>
                <w:tab w:val="left" w:pos="5760"/>
              </w:tabs>
              <w:jc w:val="center"/>
              <w:rPr>
                <w:b/>
                <w:bCs/>
              </w:rPr>
            </w:pPr>
          </w:p>
        </w:tc>
        <w:tc>
          <w:tcPr>
            <w:tcW w:w="4698" w:type="dxa"/>
          </w:tcPr>
          <w:p w14:paraId="267E74E7" w14:textId="77777777" w:rsidR="006C668F" w:rsidRPr="006C668F" w:rsidRDefault="006C668F" w:rsidP="006C668F">
            <w:pPr>
              <w:pStyle w:val="NormalWeb"/>
              <w:numPr>
                <w:ilvl w:val="0"/>
                <w:numId w:val="5"/>
              </w:numPr>
            </w:pPr>
            <w:r w:rsidRPr="006C668F">
              <w:t>Le neurone à dopamine :</w:t>
            </w:r>
          </w:p>
          <w:p w14:paraId="5C579BAE" w14:textId="77777777" w:rsidR="006C668F" w:rsidRPr="006C668F" w:rsidRDefault="006C668F" w:rsidP="006C668F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6C668F">
              <w:t>est activé par le glutamate ;</w:t>
            </w:r>
          </w:p>
          <w:p w14:paraId="27FC5348" w14:textId="77777777" w:rsidR="006C668F" w:rsidRDefault="006C668F" w:rsidP="006C668F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6C668F">
              <w:t>est inhibé par le GABA.</w:t>
            </w:r>
          </w:p>
          <w:p w14:paraId="35DD38F9" w14:textId="222866EC" w:rsidR="006C668F" w:rsidRPr="006C668F" w:rsidRDefault="006C668F" w:rsidP="006C668F">
            <w:pPr>
              <w:pStyle w:val="Paragraphedeliste"/>
              <w:numPr>
                <w:ilvl w:val="0"/>
                <w:numId w:val="5"/>
              </w:numPr>
              <w:spacing w:before="100" w:beforeAutospacing="1" w:after="100" w:afterAutospacing="1"/>
            </w:pPr>
            <w:r w:rsidRPr="006C668F">
              <w:t>Le récepteur à l’anandamide est présent sur le neurone à GABA</w:t>
            </w:r>
            <w:r w:rsidRPr="006C668F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14:paraId="04884774" w14:textId="77777777" w:rsidR="006C668F" w:rsidRPr="006C668F" w:rsidRDefault="006C668F" w:rsidP="006C668F">
            <w:pPr>
              <w:pStyle w:val="NormalWeb"/>
              <w:rPr>
                <w:color w:val="C00000"/>
              </w:rPr>
            </w:pPr>
            <w:r w:rsidRPr="006C668F">
              <w:rPr>
                <w:color w:val="C00000"/>
              </w:rPr>
              <w:t>Lorsque le THC agit il réduit l’action inhibitrice du GABA</w:t>
            </w:r>
            <w:r w:rsidRPr="006C668F">
              <w:rPr>
                <w:color w:val="C00000"/>
              </w:rPr>
              <w:t xml:space="preserve">, </w:t>
            </w:r>
            <w:r w:rsidRPr="006C668F">
              <w:rPr>
                <w:color w:val="C00000"/>
              </w:rPr>
              <w:t xml:space="preserve">le neurone à dopamine est alors moins </w:t>
            </w:r>
            <w:r w:rsidRPr="006C668F">
              <w:rPr>
                <w:color w:val="C00000"/>
              </w:rPr>
              <w:t xml:space="preserve">inhibé, </w:t>
            </w:r>
            <w:r w:rsidRPr="006C668F">
              <w:rPr>
                <w:color w:val="C00000"/>
              </w:rPr>
              <w:t>il libère davantage de dopamine</w:t>
            </w:r>
            <w:r w:rsidRPr="006C668F">
              <w:rPr>
                <w:color w:val="C00000"/>
              </w:rPr>
              <w:t xml:space="preserve"> (effet de plaisir)</w:t>
            </w:r>
          </w:p>
          <w:p w14:paraId="5DB41402" w14:textId="2BD2691B" w:rsidR="006C668F" w:rsidRPr="006C668F" w:rsidRDefault="006C668F" w:rsidP="006C668F">
            <w:pPr>
              <w:pStyle w:val="NormalWeb"/>
              <w:rPr>
                <w:color w:val="000000"/>
              </w:rPr>
            </w:pPr>
          </w:p>
        </w:tc>
      </w:tr>
    </w:tbl>
    <w:p w14:paraId="122EA5A2" w14:textId="77777777" w:rsidR="00A028D8" w:rsidRDefault="00A028D8" w:rsidP="00A028D8">
      <w:pPr>
        <w:tabs>
          <w:tab w:val="left" w:pos="5760"/>
        </w:tabs>
        <w:rPr>
          <w:lang w:eastAsia="fr-FR"/>
        </w:rPr>
      </w:pPr>
    </w:p>
    <w:p w14:paraId="2BCAE0F7" w14:textId="21253E3F" w:rsidR="00A028D8" w:rsidRPr="00A028D8" w:rsidRDefault="00A028D8" w:rsidP="00A028D8">
      <w:pPr>
        <w:tabs>
          <w:tab w:val="left" w:pos="5760"/>
        </w:tabs>
        <w:rPr>
          <w:b/>
          <w:bCs/>
          <w:color w:val="C00000"/>
        </w:rPr>
      </w:pPr>
      <w:r w:rsidRPr="00A028D8">
        <w:rPr>
          <w:b/>
          <w:bCs/>
          <w:color w:val="C00000"/>
          <w:lang w:eastAsia="fr-FR"/>
        </w:rPr>
        <w:t xml:space="preserve">CONCLUSION : </w:t>
      </w:r>
      <w:r w:rsidRPr="00A028D8">
        <w:rPr>
          <w:b/>
          <w:bCs/>
          <w:color w:val="C00000"/>
        </w:rPr>
        <w:t>Le THC agit en se fixant sur les récepteurs de l’anandamide présents dans le cerveau. Comme l’anandamide, il diminue l’action inhibitrice du GABA sur les neurones à dopamine. Les neurones dopaminergiques deviennent alors plus actifs et libèrent davantage de dopamine, ce qui active le circuit de la récompense et provoque une sensation de plaisir.</w:t>
      </w:r>
    </w:p>
    <w:sectPr w:rsidR="00A028D8" w:rsidRPr="00A028D8" w:rsidSect="00C747A4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A7397"/>
    <w:multiLevelType w:val="multilevel"/>
    <w:tmpl w:val="85824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A07AE"/>
    <w:multiLevelType w:val="hybridMultilevel"/>
    <w:tmpl w:val="8A3A5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814854"/>
    <w:multiLevelType w:val="multilevel"/>
    <w:tmpl w:val="2594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421C44"/>
    <w:multiLevelType w:val="hybridMultilevel"/>
    <w:tmpl w:val="CB7867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C7A27"/>
    <w:multiLevelType w:val="multilevel"/>
    <w:tmpl w:val="EE50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452152"/>
    <w:multiLevelType w:val="hybridMultilevel"/>
    <w:tmpl w:val="7CD2EBA4"/>
    <w:lvl w:ilvl="0" w:tplc="CD0E3292">
      <w:numFmt w:val="bullet"/>
      <w:lvlText w:val="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E3C46"/>
    <w:multiLevelType w:val="multilevel"/>
    <w:tmpl w:val="2B76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967385">
    <w:abstractNumId w:val="2"/>
  </w:num>
  <w:num w:numId="2" w16cid:durableId="2072656330">
    <w:abstractNumId w:val="1"/>
  </w:num>
  <w:num w:numId="3" w16cid:durableId="647200105">
    <w:abstractNumId w:val="5"/>
  </w:num>
  <w:num w:numId="4" w16cid:durableId="969556106">
    <w:abstractNumId w:val="0"/>
  </w:num>
  <w:num w:numId="5" w16cid:durableId="1172142103">
    <w:abstractNumId w:val="3"/>
  </w:num>
  <w:num w:numId="6" w16cid:durableId="589703347">
    <w:abstractNumId w:val="6"/>
  </w:num>
  <w:num w:numId="7" w16cid:durableId="766271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A4"/>
    <w:rsid w:val="0042384B"/>
    <w:rsid w:val="006C668F"/>
    <w:rsid w:val="00A028D8"/>
    <w:rsid w:val="00BB6807"/>
    <w:rsid w:val="00C747A4"/>
    <w:rsid w:val="00C81CF9"/>
    <w:rsid w:val="00DA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88DB4"/>
  <w15:chartTrackingRefBased/>
  <w15:docId w15:val="{E5BCDC42-9A6F-E741-ADAD-DF8B11FB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4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4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4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74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4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4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4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4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4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4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74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74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747A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747A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747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747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747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747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74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74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74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74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74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47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747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747A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4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47A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747A4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C747A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pple-converted-space">
    <w:name w:val="apple-converted-space"/>
    <w:basedOn w:val="Policepardfaut"/>
    <w:rsid w:val="00C747A4"/>
  </w:style>
  <w:style w:type="paragraph" w:styleId="NormalWeb">
    <w:name w:val="Normal (Web)"/>
    <w:basedOn w:val="Normal"/>
    <w:uiPriority w:val="99"/>
    <w:unhideWhenUsed/>
    <w:rsid w:val="00C74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customStyle="1" w:styleId="p1">
    <w:name w:val="p1"/>
    <w:basedOn w:val="Normal"/>
    <w:rsid w:val="00DA2441"/>
    <w:pPr>
      <w:spacing w:after="0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6C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Flavien Bresson</dc:creator>
  <cp:keywords/>
  <dc:description/>
  <cp:lastModifiedBy>Flavien Bresson</cp:lastModifiedBy>
  <cp:revision>1</cp:revision>
  <cp:lastPrinted>2026-05-27T08:45:00Z</cp:lastPrinted>
  <dcterms:created xsi:type="dcterms:W3CDTF">2026-05-27T08:11:00Z</dcterms:created>
  <dcterms:modified xsi:type="dcterms:W3CDTF">2026-05-27T08:47:00Z</dcterms:modified>
</cp:coreProperties>
</file>