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66286B3" w14:textId="77777777" w:rsidR="00574286" w:rsidRDefault="00000000">
      <w:pPr>
        <w:ind w:left="5664" w:firstLine="707"/>
        <w:jc w:val="right"/>
      </w:pPr>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574286" w14:paraId="550CF7F8" w14:textId="77777777">
        <w:trPr>
          <w:trHeight w:val="274"/>
        </w:trPr>
        <w:tc>
          <w:tcPr>
            <w:tcW w:w="153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D651CD" w14:textId="77777777" w:rsidR="00574286" w:rsidRDefault="00000000">
            <w:pPr>
              <w:spacing w:before="120" w:after="120"/>
              <w:rPr>
                <w:sz w:val="24"/>
                <w:szCs w:val="24"/>
              </w:rPr>
            </w:pPr>
            <w:r>
              <w:rPr>
                <w:rFonts w:ascii="Arial" w:eastAsia="Arial" w:hAnsi="Arial" w:cs="Arial"/>
                <w:b/>
                <w:sz w:val="24"/>
                <w:szCs w:val="24"/>
              </w:rPr>
              <w:t xml:space="preserve">Contexte </w:t>
            </w:r>
          </w:p>
        </w:tc>
      </w:tr>
      <w:tr w:rsidR="00574286" w14:paraId="129E045F" w14:textId="77777777">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6D91BE68" w14:textId="77777777" w:rsidR="00574286" w:rsidRDefault="00000000">
            <w:pPr>
              <w:spacing w:before="120" w:after="120"/>
              <w:ind w:left="10"/>
              <w:jc w:val="left"/>
              <w:rPr>
                <w:rFonts w:ascii="Arial" w:eastAsia="Arial" w:hAnsi="Arial" w:cs="Arial"/>
                <w:sz w:val="24"/>
                <w:szCs w:val="24"/>
              </w:rPr>
            </w:pPr>
            <w:r>
              <w:rPr>
                <w:rFonts w:ascii="Arial" w:eastAsia="Arial" w:hAnsi="Arial" w:cs="Arial"/>
                <w:sz w:val="24"/>
                <w:szCs w:val="24"/>
              </w:rPr>
              <w:t>La géologie de la Corse montre deux ensembles très différents : les deux tiers de l’île au sud-ouest d’une ligne Calvi - Solenzara sont constitués de roches granitiques d’origine volcanique ou métamorphique. Ces roches se sont mises en place au cours de la formation d’une chaîne de montagnes (= orogenèse) datant de la période hercynienne. Le tiers nord-est de la Corse est constitué d’autres roches.</w:t>
            </w:r>
          </w:p>
          <w:p w14:paraId="0B428968" w14:textId="77777777" w:rsidR="00574286" w:rsidRDefault="00000000">
            <w:pPr>
              <w:spacing w:after="120"/>
              <w:jc w:val="left"/>
              <w:rPr>
                <w:sz w:val="10"/>
                <w:szCs w:val="10"/>
              </w:rPr>
            </w:pPr>
            <w:r>
              <w:rPr>
                <w:rFonts w:ascii="Arial" w:eastAsia="Arial" w:hAnsi="Arial" w:cs="Arial"/>
                <w:b/>
                <w:color w:val="202122"/>
                <w:sz w:val="24"/>
                <w:szCs w:val="24"/>
                <w:highlight w:val="white"/>
              </w:rPr>
              <w:t>On veut, par des observations et des calculs, confirmer que les roches du tiers nord-est de la Corse se prêtent à la datation samarium / néodyme et déterminer si elles se sont aussi formées au cours de l’orogenèse hercynienne.</w:t>
            </w:r>
          </w:p>
        </w:tc>
      </w:tr>
    </w:tbl>
    <w:p w14:paraId="531A5CB8" w14:textId="77777777" w:rsidR="00574286" w:rsidRDefault="00574286">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574286" w14:paraId="5373B820" w14:textId="77777777">
        <w:tc>
          <w:tcPr>
            <w:tcW w:w="15388" w:type="dxa"/>
            <w:shd w:val="clear" w:color="auto" w:fill="D9D9D9"/>
          </w:tcPr>
          <w:p w14:paraId="3563DF21" w14:textId="77777777" w:rsidR="00574286"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574286" w14:paraId="4A492075" w14:textId="77777777">
        <w:tc>
          <w:tcPr>
            <w:tcW w:w="15388" w:type="dxa"/>
            <w:shd w:val="clear" w:color="auto" w:fill="F2F2F2"/>
          </w:tcPr>
          <w:p w14:paraId="196B73E0" w14:textId="77777777" w:rsidR="00574286"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proposition d’une stratégie et activité pratique (durée recommandée : 40 minutes)</w:t>
            </w:r>
          </w:p>
        </w:tc>
      </w:tr>
      <w:tr w:rsidR="00574286" w14:paraId="5E22BB02" w14:textId="77777777">
        <w:tc>
          <w:tcPr>
            <w:tcW w:w="15388" w:type="dxa"/>
          </w:tcPr>
          <w:p w14:paraId="726EF84D" w14:textId="77777777" w:rsidR="00574286" w:rsidRDefault="00000000">
            <w:pPr>
              <w:spacing w:before="120"/>
              <w:jc w:val="left"/>
              <w:rPr>
                <w:rFonts w:ascii="Arial" w:eastAsia="Arial" w:hAnsi="Arial" w:cs="Arial"/>
                <w:sz w:val="24"/>
                <w:szCs w:val="24"/>
              </w:rPr>
            </w:pPr>
            <w:r>
              <w:rPr>
                <w:rFonts w:ascii="Arial" w:eastAsia="Arial" w:hAnsi="Arial" w:cs="Arial"/>
                <w:b/>
                <w:sz w:val="24"/>
                <w:szCs w:val="24"/>
              </w:rPr>
              <w:t>Élaborer une stratégie de résolution</w:t>
            </w:r>
            <w:r>
              <w:rPr>
                <w:rFonts w:ascii="Arial" w:eastAsia="Arial" w:hAnsi="Arial" w:cs="Arial"/>
                <w:sz w:val="24"/>
                <w:szCs w:val="24"/>
              </w:rPr>
              <w:t xml:space="preserve"> afin de </w:t>
            </w:r>
            <w:r>
              <w:rPr>
                <w:rFonts w:ascii="Arial" w:eastAsia="Arial" w:hAnsi="Arial" w:cs="Arial"/>
                <w:color w:val="202122"/>
                <w:sz w:val="24"/>
                <w:szCs w:val="24"/>
                <w:highlight w:val="white"/>
              </w:rPr>
              <w:t>confirmer que les roches du tiers nord-est de la Corse se prêtent à la datation samarium / néodyme et déterminer si elles se sont aussi formées au cours de l’orogenèse hercynienne.</w:t>
            </w:r>
          </w:p>
          <w:p w14:paraId="26388CF9" w14:textId="77777777" w:rsidR="00574286" w:rsidRDefault="00574286">
            <w:pPr>
              <w:rPr>
                <w:rFonts w:ascii="Arial" w:eastAsia="Arial" w:hAnsi="Arial" w:cs="Arial"/>
                <w:b/>
                <w:i/>
                <w:sz w:val="24"/>
                <w:szCs w:val="24"/>
              </w:rPr>
            </w:pPr>
          </w:p>
          <w:p w14:paraId="6284EE9E" w14:textId="77777777" w:rsidR="00574286" w:rsidRDefault="00000000">
            <w:pPr>
              <w:rPr>
                <w:rFonts w:ascii="Arial" w:eastAsia="Arial" w:hAnsi="Arial" w:cs="Arial"/>
                <w:b/>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formaliser votre proposition à l’oral.</w:t>
            </w:r>
          </w:p>
          <w:p w14:paraId="20C30C27" w14:textId="77777777" w:rsidR="00574286" w:rsidRDefault="00574286">
            <w:pPr>
              <w:rPr>
                <w:rFonts w:ascii="Arial" w:eastAsia="Arial" w:hAnsi="Arial" w:cs="Arial"/>
                <w:b/>
                <w:sz w:val="24"/>
                <w:szCs w:val="24"/>
              </w:rPr>
            </w:pPr>
          </w:p>
          <w:p w14:paraId="75B5E518" w14:textId="77777777" w:rsidR="00574286" w:rsidRDefault="00000000">
            <w:pPr>
              <w:spacing w:after="120"/>
              <w:jc w:val="both"/>
              <w:rPr>
                <w:rFonts w:ascii="Arial" w:eastAsia="Arial" w:hAnsi="Arial" w:cs="Arial"/>
                <w:sz w:val="24"/>
                <w:szCs w:val="24"/>
              </w:rPr>
            </w:pPr>
            <w:r>
              <w:rPr>
                <w:rFonts w:ascii="Arial" w:eastAsia="Arial" w:hAnsi="Arial" w:cs="Arial"/>
                <w:b/>
                <w:sz w:val="24"/>
                <w:szCs w:val="24"/>
              </w:rPr>
              <w:t>Mettre en œuvre le protocole.</w:t>
            </w:r>
          </w:p>
        </w:tc>
      </w:tr>
      <w:tr w:rsidR="00574286" w14:paraId="789002ED" w14:textId="77777777">
        <w:tc>
          <w:tcPr>
            <w:tcW w:w="15388" w:type="dxa"/>
            <w:shd w:val="clear" w:color="auto" w:fill="F2F2F2"/>
          </w:tcPr>
          <w:p w14:paraId="756D2E24" w14:textId="77777777" w:rsidR="00574286" w:rsidRDefault="00000000">
            <w:pPr>
              <w:spacing w:before="120" w:after="120"/>
              <w:jc w:val="left"/>
              <w:rPr>
                <w:rFonts w:ascii="Arial" w:eastAsia="Arial" w:hAnsi="Arial" w:cs="Arial"/>
                <w:b/>
                <w:sz w:val="24"/>
                <w:szCs w:val="24"/>
              </w:rPr>
            </w:pPr>
            <w:r>
              <w:rPr>
                <w:rFonts w:ascii="Arial" w:eastAsia="Arial" w:hAnsi="Arial" w:cs="Arial"/>
                <w:b/>
                <w:sz w:val="24"/>
                <w:szCs w:val="24"/>
              </w:rPr>
              <w:t>Partie B : Présentation et interprétation des résultats ; conclusion (durée recommandée : 20 minutes)</w:t>
            </w:r>
          </w:p>
        </w:tc>
      </w:tr>
      <w:tr w:rsidR="00574286" w14:paraId="6A8D9D42" w14:textId="77777777">
        <w:tc>
          <w:tcPr>
            <w:tcW w:w="15388" w:type="dxa"/>
          </w:tcPr>
          <w:p w14:paraId="47CD3502" w14:textId="77777777" w:rsidR="00574286" w:rsidRDefault="00000000">
            <w:pPr>
              <w:spacing w:before="120"/>
              <w:jc w:val="both"/>
              <w:rPr>
                <w:rFonts w:ascii="Arial" w:eastAsia="Arial" w:hAnsi="Arial" w:cs="Arial"/>
                <w:b/>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r>
              <w:rPr>
                <w:rFonts w:ascii="Arial" w:eastAsia="Arial" w:hAnsi="Arial" w:cs="Arial"/>
                <w:b/>
                <w:sz w:val="24"/>
                <w:szCs w:val="24"/>
              </w:rPr>
              <w:t xml:space="preserve"> </w:t>
            </w:r>
          </w:p>
          <w:p w14:paraId="267771C2" w14:textId="77777777" w:rsidR="00574286" w:rsidRDefault="00574286">
            <w:pPr>
              <w:jc w:val="both"/>
              <w:rPr>
                <w:rFonts w:ascii="Arial" w:eastAsia="Arial" w:hAnsi="Arial" w:cs="Arial"/>
                <w:b/>
                <w:sz w:val="24"/>
                <w:szCs w:val="24"/>
              </w:rPr>
            </w:pPr>
          </w:p>
          <w:p w14:paraId="4F53E5C2" w14:textId="77777777" w:rsidR="00574286" w:rsidRDefault="00000000">
            <w:pPr>
              <w:rPr>
                <w:rFonts w:ascii="Arial" w:eastAsia="Arial" w:hAnsi="Arial" w:cs="Arial"/>
                <w:b/>
                <w:color w:val="FF0000"/>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pour vérifier votre production.</w:t>
            </w:r>
          </w:p>
          <w:p w14:paraId="60A22BDA" w14:textId="77777777" w:rsidR="00574286" w:rsidRDefault="00574286">
            <w:pPr>
              <w:rPr>
                <w:rFonts w:ascii="Arial" w:eastAsia="Arial" w:hAnsi="Arial" w:cs="Arial"/>
                <w:b/>
                <w:sz w:val="24"/>
                <w:szCs w:val="24"/>
              </w:rPr>
            </w:pPr>
          </w:p>
          <w:p w14:paraId="48792502" w14:textId="77777777" w:rsidR="00574286" w:rsidRDefault="00000000">
            <w:pPr>
              <w:tabs>
                <w:tab w:val="left" w:pos="8505"/>
              </w:tabs>
              <w:spacing w:after="120"/>
              <w:jc w:val="left"/>
              <w:rPr>
                <w:rFonts w:ascii="Arial" w:eastAsia="Arial" w:hAnsi="Arial" w:cs="Arial"/>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si </w:t>
            </w:r>
            <w:r>
              <w:rPr>
                <w:rFonts w:ascii="Arial" w:eastAsia="Arial" w:hAnsi="Arial" w:cs="Arial"/>
                <w:color w:val="202122"/>
                <w:sz w:val="24"/>
                <w:szCs w:val="24"/>
                <w:highlight w:val="white"/>
              </w:rPr>
              <w:t>les roches du tiers nord-est de la Corse se prêtent à la datation samarium / néodyme et déterminer si elles se sont aussi formées au cours de l’orogenèse hercynienne.</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tc>
      </w:tr>
    </w:tbl>
    <w:p w14:paraId="55D6DD85" w14:textId="77777777" w:rsidR="00574286" w:rsidRDefault="00000000">
      <w:pPr>
        <w:jc w:val="right"/>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6842"/>
        <w:gridCol w:w="8546"/>
      </w:tblGrid>
      <w:tr w:rsidR="00574286" w14:paraId="3C8548D8" w14:textId="77777777">
        <w:trPr>
          <w:trHeight w:val="435"/>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EFD0A6A" w14:textId="77777777" w:rsidR="00574286" w:rsidRDefault="00000000">
            <w:pPr>
              <w:spacing w:before="120" w:after="120"/>
            </w:pPr>
            <w:r>
              <w:rPr>
                <w:rFonts w:ascii="Arial" w:eastAsia="Arial" w:hAnsi="Arial" w:cs="Arial"/>
                <w:b/>
                <w:sz w:val="24"/>
                <w:szCs w:val="24"/>
              </w:rPr>
              <w:t xml:space="preserve">Protocole </w:t>
            </w:r>
          </w:p>
        </w:tc>
      </w:tr>
      <w:tr w:rsidR="00574286" w14:paraId="254ACD43" w14:textId="77777777">
        <w:trPr>
          <w:trHeight w:val="3088"/>
        </w:trPr>
        <w:tc>
          <w:tcPr>
            <w:tcW w:w="6842" w:type="dxa"/>
            <w:tcBorders>
              <w:top w:val="single" w:sz="4" w:space="0" w:color="000000"/>
              <w:left w:val="single" w:sz="4" w:space="0" w:color="000000"/>
              <w:bottom w:val="single" w:sz="4" w:space="0" w:color="000000"/>
            </w:tcBorders>
            <w:shd w:val="clear" w:color="auto" w:fill="auto"/>
          </w:tcPr>
          <w:p w14:paraId="6048531E" w14:textId="77777777" w:rsidR="00574286"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51A99F22" w14:textId="77777777" w:rsidR="00574286" w:rsidRDefault="00000000">
            <w:pPr>
              <w:widowControl w:val="0"/>
              <w:numPr>
                <w:ilvl w:val="0"/>
                <w:numId w:val="8"/>
              </w:numPr>
              <w:tabs>
                <w:tab w:val="left" w:pos="294"/>
                <w:tab w:val="left" w:pos="577"/>
              </w:tabs>
              <w:spacing w:after="120"/>
              <w:ind w:left="360" w:hanging="66"/>
              <w:jc w:val="left"/>
              <w:rPr>
                <w:color w:val="000000"/>
                <w:sz w:val="24"/>
                <w:szCs w:val="24"/>
              </w:rPr>
            </w:pPr>
            <w:r>
              <w:rPr>
                <w:rFonts w:ascii="Arial" w:eastAsia="Arial" w:hAnsi="Arial" w:cs="Arial"/>
                <w:color w:val="000000"/>
                <w:sz w:val="24"/>
                <w:szCs w:val="24"/>
              </w:rPr>
              <w:t>lame mince d’une roche ;</w:t>
            </w:r>
          </w:p>
          <w:p w14:paraId="734AB124" w14:textId="77777777" w:rsidR="00574286" w:rsidRDefault="00000000">
            <w:pPr>
              <w:widowControl w:val="0"/>
              <w:numPr>
                <w:ilvl w:val="0"/>
                <w:numId w:val="8"/>
              </w:numPr>
              <w:tabs>
                <w:tab w:val="left" w:pos="294"/>
                <w:tab w:val="left" w:pos="577"/>
              </w:tabs>
              <w:spacing w:after="120"/>
              <w:ind w:left="360" w:hanging="66"/>
              <w:jc w:val="left"/>
              <w:rPr>
                <w:color w:val="000000"/>
                <w:sz w:val="24"/>
                <w:szCs w:val="24"/>
              </w:rPr>
            </w:pPr>
            <w:r>
              <w:rPr>
                <w:rFonts w:ascii="Arial" w:eastAsia="Arial" w:hAnsi="Arial" w:cs="Arial"/>
                <w:color w:val="000000"/>
                <w:sz w:val="24"/>
                <w:szCs w:val="24"/>
              </w:rPr>
              <w:t xml:space="preserve"> microscope polarisant ;</w:t>
            </w:r>
          </w:p>
          <w:p w14:paraId="137AB176" w14:textId="77777777" w:rsidR="00574286" w:rsidRDefault="00000000">
            <w:pPr>
              <w:widowControl w:val="0"/>
              <w:numPr>
                <w:ilvl w:val="0"/>
                <w:numId w:val="8"/>
              </w:numPr>
              <w:tabs>
                <w:tab w:val="left" w:pos="294"/>
                <w:tab w:val="left" w:pos="577"/>
              </w:tabs>
              <w:spacing w:after="120"/>
              <w:ind w:left="360" w:hanging="66"/>
              <w:jc w:val="left"/>
              <w:rPr>
                <w:color w:val="000000"/>
                <w:sz w:val="24"/>
                <w:szCs w:val="24"/>
              </w:rPr>
            </w:pPr>
            <w:r>
              <w:rPr>
                <w:rFonts w:ascii="Arial" w:eastAsia="Arial" w:hAnsi="Arial" w:cs="Arial"/>
                <w:color w:val="000000"/>
                <w:sz w:val="24"/>
                <w:szCs w:val="24"/>
              </w:rPr>
              <w:t xml:space="preserve"> planche d’identification des minéraux ;</w:t>
            </w:r>
          </w:p>
          <w:p w14:paraId="64F6A740" w14:textId="77777777" w:rsidR="00574286" w:rsidRDefault="00000000">
            <w:pPr>
              <w:widowControl w:val="0"/>
              <w:numPr>
                <w:ilvl w:val="0"/>
                <w:numId w:val="8"/>
              </w:numPr>
              <w:tabs>
                <w:tab w:val="left" w:pos="294"/>
                <w:tab w:val="left" w:pos="577"/>
              </w:tabs>
              <w:spacing w:after="120"/>
              <w:ind w:left="294" w:firstLine="0"/>
              <w:jc w:val="both"/>
              <w:rPr>
                <w:color w:val="000000"/>
                <w:sz w:val="24"/>
                <w:szCs w:val="24"/>
              </w:rPr>
            </w:pPr>
            <w:r>
              <w:rPr>
                <w:rFonts w:ascii="Arial" w:eastAsia="Arial" w:hAnsi="Arial" w:cs="Arial"/>
                <w:color w:val="000000"/>
                <w:sz w:val="24"/>
                <w:szCs w:val="24"/>
              </w:rPr>
              <w:t xml:space="preserve"> tableur et sa fiche technique ;</w:t>
            </w:r>
          </w:p>
          <w:p w14:paraId="657B229B" w14:textId="77777777" w:rsidR="00574286" w:rsidRDefault="00000000">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tabs>
                <w:tab w:val="left" w:pos="294"/>
                <w:tab w:val="left" w:pos="577"/>
              </w:tabs>
              <w:spacing w:after="120"/>
              <w:ind w:left="294" w:firstLine="0"/>
              <w:jc w:val="both"/>
              <w:rPr>
                <w:rFonts w:ascii="Arial" w:eastAsia="Arial" w:hAnsi="Arial" w:cs="Arial"/>
                <w:color w:val="000000"/>
                <w:sz w:val="24"/>
                <w:szCs w:val="24"/>
              </w:rPr>
            </w:pPr>
            <w:r>
              <w:rPr>
                <w:rFonts w:ascii="Arial" w:eastAsia="Arial" w:hAnsi="Arial" w:cs="Arial"/>
                <w:color w:val="000000"/>
                <w:sz w:val="24"/>
                <w:szCs w:val="24"/>
              </w:rPr>
              <w:t xml:space="preserve"> fichier de mesures.</w:t>
            </w:r>
          </w:p>
        </w:tc>
        <w:tc>
          <w:tcPr>
            <w:tcW w:w="8546" w:type="dxa"/>
            <w:tcBorders>
              <w:top w:val="single" w:sz="4" w:space="0" w:color="000000"/>
              <w:left w:val="single" w:sz="4" w:space="0" w:color="000000"/>
              <w:bottom w:val="single" w:sz="4" w:space="0" w:color="000000"/>
              <w:right w:val="single" w:sz="4" w:space="0" w:color="000000"/>
            </w:tcBorders>
            <w:shd w:val="clear" w:color="auto" w:fill="auto"/>
          </w:tcPr>
          <w:p w14:paraId="3FEB84C7" w14:textId="77777777" w:rsidR="00574286" w:rsidRDefault="00000000">
            <w:pPr>
              <w:pBdr>
                <w:top w:val="nil"/>
                <w:left w:val="nil"/>
                <w:bottom w:val="nil"/>
                <w:right w:val="nil"/>
                <w:between w:val="nil"/>
              </w:pBdr>
              <w:spacing w:before="120" w:after="480"/>
              <w:jc w:val="left"/>
              <w:rPr>
                <w:rFonts w:ascii="Arial" w:eastAsia="Arial" w:hAnsi="Arial" w:cs="Arial"/>
                <w:b/>
                <w:color w:val="000000"/>
                <w:sz w:val="24"/>
                <w:szCs w:val="24"/>
              </w:rPr>
            </w:pPr>
            <w:r>
              <w:rPr>
                <w:rFonts w:ascii="Arial" w:eastAsia="Arial" w:hAnsi="Arial" w:cs="Arial"/>
                <w:b/>
                <w:color w:val="000000"/>
                <w:sz w:val="24"/>
                <w:szCs w:val="24"/>
              </w:rPr>
              <w:t xml:space="preserve">Afin de confirmer si </w:t>
            </w:r>
            <w:r>
              <w:rPr>
                <w:rFonts w:ascii="Arial" w:eastAsia="Arial" w:hAnsi="Arial" w:cs="Arial"/>
                <w:b/>
                <w:color w:val="000000"/>
                <w:sz w:val="24"/>
                <w:szCs w:val="24"/>
                <w:highlight w:val="white"/>
              </w:rPr>
              <w:t xml:space="preserve">les roches du tiers nord-est de la Corse se prêtent à la datation samarium / néodyme et déterminer si elles se sont aussi formées au cours de l’orogenèse hercynienne </w:t>
            </w:r>
            <w:r>
              <w:rPr>
                <w:rFonts w:ascii="Arial" w:eastAsia="Arial" w:hAnsi="Arial" w:cs="Arial"/>
                <w:b/>
                <w:color w:val="000000"/>
                <w:sz w:val="24"/>
                <w:szCs w:val="24"/>
              </w:rPr>
              <w:t>:</w:t>
            </w:r>
          </w:p>
          <w:p w14:paraId="4951926B" w14:textId="77777777" w:rsidR="00574286" w:rsidRDefault="00000000">
            <w:pPr>
              <w:widowControl w:val="0"/>
              <w:numPr>
                <w:ilvl w:val="0"/>
                <w:numId w:val="11"/>
              </w:numPr>
              <w:pBdr>
                <w:top w:val="nil"/>
                <w:left w:val="nil"/>
                <w:bottom w:val="nil"/>
                <w:right w:val="nil"/>
                <w:between w:val="nil"/>
              </w:pBdr>
              <w:ind w:left="382" w:hanging="68"/>
              <w:jc w:val="both"/>
              <w:rPr>
                <w:color w:val="000000"/>
                <w:sz w:val="24"/>
                <w:szCs w:val="24"/>
              </w:rPr>
            </w:pPr>
            <w:r>
              <w:rPr>
                <w:rFonts w:ascii="Arial" w:eastAsia="Arial" w:hAnsi="Arial" w:cs="Arial"/>
                <w:b/>
                <w:color w:val="000000"/>
                <w:sz w:val="24"/>
                <w:szCs w:val="24"/>
              </w:rPr>
              <w:t xml:space="preserve">observer </w:t>
            </w:r>
            <w:r>
              <w:rPr>
                <w:rFonts w:ascii="Arial" w:eastAsia="Arial" w:hAnsi="Arial" w:cs="Arial"/>
                <w:color w:val="000000"/>
                <w:sz w:val="24"/>
                <w:szCs w:val="24"/>
              </w:rPr>
              <w:t>une lame mince de roche ;</w:t>
            </w:r>
          </w:p>
          <w:p w14:paraId="596B01B0" w14:textId="77777777" w:rsidR="00574286" w:rsidRDefault="00000000">
            <w:pPr>
              <w:widowControl w:val="0"/>
              <w:numPr>
                <w:ilvl w:val="0"/>
                <w:numId w:val="11"/>
              </w:numPr>
              <w:pBdr>
                <w:top w:val="nil"/>
                <w:left w:val="nil"/>
                <w:bottom w:val="nil"/>
                <w:right w:val="nil"/>
                <w:between w:val="nil"/>
              </w:pBdr>
              <w:spacing w:after="120"/>
              <w:ind w:left="382" w:hanging="68"/>
              <w:jc w:val="both"/>
              <w:rPr>
                <w:rFonts w:ascii="Arial" w:eastAsia="Arial" w:hAnsi="Arial" w:cs="Arial"/>
                <w:b/>
                <w:i/>
                <w:color w:val="000000"/>
                <w:sz w:val="24"/>
                <w:szCs w:val="24"/>
              </w:rPr>
            </w:pPr>
            <w:r>
              <w:rPr>
                <w:rFonts w:ascii="Arial" w:eastAsia="Arial" w:hAnsi="Arial" w:cs="Arial"/>
                <w:b/>
                <w:color w:val="000000"/>
                <w:sz w:val="24"/>
                <w:szCs w:val="24"/>
              </w:rPr>
              <w:t>dater</w:t>
            </w:r>
            <w:r>
              <w:rPr>
                <w:rFonts w:ascii="Arial" w:eastAsia="Arial" w:hAnsi="Arial" w:cs="Arial"/>
                <w:color w:val="000000"/>
                <w:sz w:val="24"/>
                <w:szCs w:val="24"/>
              </w:rPr>
              <w:t xml:space="preserve"> les roches métamorphiques.</w:t>
            </w:r>
          </w:p>
          <w:p w14:paraId="792CAF93" w14:textId="77777777" w:rsidR="00574286" w:rsidRDefault="00000000">
            <w:pPr>
              <w:widowControl w:val="0"/>
              <w:numPr>
                <w:ilvl w:val="0"/>
                <w:numId w:val="1"/>
              </w:numPr>
              <w:pBdr>
                <w:top w:val="nil"/>
                <w:left w:val="nil"/>
                <w:bottom w:val="nil"/>
                <w:right w:val="nil"/>
                <w:between w:val="nil"/>
              </w:pBdr>
              <w:tabs>
                <w:tab w:val="left" w:pos="320"/>
              </w:tabs>
              <w:ind w:left="1134" w:hanging="425"/>
              <w:jc w:val="both"/>
              <w:rPr>
                <w:color w:val="000000"/>
                <w:sz w:val="24"/>
                <w:szCs w:val="24"/>
              </w:rPr>
            </w:pPr>
            <w:r>
              <w:rPr>
                <w:rFonts w:ascii="Arial" w:eastAsia="Arial" w:hAnsi="Arial" w:cs="Arial"/>
                <w:color w:val="000000"/>
                <w:sz w:val="24"/>
                <w:szCs w:val="24"/>
                <w:highlight w:val="white"/>
              </w:rPr>
              <w:t>Pour créer une formule de calcul dans une cellule :</w:t>
            </w:r>
          </w:p>
          <w:p w14:paraId="42589728" w14:textId="77777777" w:rsidR="00574286" w:rsidRDefault="00000000">
            <w:pPr>
              <w:widowControl w:val="0"/>
              <w:numPr>
                <w:ilvl w:val="0"/>
                <w:numId w:val="3"/>
              </w:numPr>
              <w:pBdr>
                <w:top w:val="nil"/>
                <w:left w:val="nil"/>
                <w:bottom w:val="nil"/>
                <w:right w:val="nil"/>
                <w:between w:val="nil"/>
              </w:pBdr>
              <w:tabs>
                <w:tab w:val="left" w:pos="320"/>
              </w:tabs>
              <w:ind w:left="1134" w:firstLine="0"/>
              <w:jc w:val="both"/>
              <w:rPr>
                <w:color w:val="000000"/>
                <w:sz w:val="24"/>
                <w:szCs w:val="24"/>
              </w:rPr>
            </w:pPr>
            <w:r>
              <w:rPr>
                <w:rFonts w:ascii="Arial" w:eastAsia="Arial" w:hAnsi="Arial" w:cs="Arial"/>
                <w:color w:val="000000"/>
                <w:sz w:val="24"/>
                <w:szCs w:val="24"/>
                <w:highlight w:val="white"/>
              </w:rPr>
              <w:t>placer le curseur sur la cellule qui doit recevoir le calcul.</w:t>
            </w:r>
          </w:p>
          <w:p w14:paraId="5BABC401" w14:textId="77777777" w:rsidR="00574286" w:rsidRDefault="00000000">
            <w:pPr>
              <w:widowControl w:val="0"/>
              <w:numPr>
                <w:ilvl w:val="0"/>
                <w:numId w:val="3"/>
              </w:numPr>
              <w:pBdr>
                <w:top w:val="nil"/>
                <w:left w:val="nil"/>
                <w:bottom w:val="nil"/>
                <w:right w:val="nil"/>
                <w:between w:val="nil"/>
              </w:pBdr>
              <w:tabs>
                <w:tab w:val="left" w:pos="320"/>
              </w:tabs>
              <w:ind w:left="1134" w:firstLine="0"/>
              <w:jc w:val="both"/>
              <w:rPr>
                <w:color w:val="000000"/>
                <w:sz w:val="24"/>
                <w:szCs w:val="24"/>
              </w:rPr>
            </w:pPr>
            <w:r>
              <w:rPr>
                <w:rFonts w:ascii="Arial" w:eastAsia="Arial" w:hAnsi="Arial" w:cs="Arial"/>
                <w:color w:val="000000"/>
                <w:sz w:val="24"/>
                <w:szCs w:val="24"/>
                <w:highlight w:val="white"/>
              </w:rPr>
              <w:t>taper = pour activer la barre de formule</w:t>
            </w:r>
          </w:p>
          <w:p w14:paraId="678B3879" w14:textId="77777777" w:rsidR="00574286" w:rsidRDefault="00000000">
            <w:pPr>
              <w:widowControl w:val="0"/>
              <w:numPr>
                <w:ilvl w:val="0"/>
                <w:numId w:val="3"/>
              </w:numPr>
              <w:pBdr>
                <w:top w:val="nil"/>
                <w:left w:val="nil"/>
                <w:bottom w:val="nil"/>
                <w:right w:val="nil"/>
                <w:between w:val="nil"/>
              </w:pBdr>
              <w:tabs>
                <w:tab w:val="left" w:pos="320"/>
              </w:tabs>
              <w:ind w:left="1134" w:firstLine="0"/>
              <w:jc w:val="both"/>
              <w:rPr>
                <w:color w:val="000000"/>
                <w:sz w:val="24"/>
                <w:szCs w:val="24"/>
              </w:rPr>
            </w:pPr>
            <w:r>
              <w:rPr>
                <w:rFonts w:ascii="Arial" w:eastAsia="Arial" w:hAnsi="Arial" w:cs="Arial"/>
                <w:color w:val="000000"/>
                <w:sz w:val="24"/>
                <w:szCs w:val="24"/>
                <w:highlight w:val="white"/>
              </w:rPr>
              <w:t>taper la formule adéquate</w:t>
            </w:r>
          </w:p>
          <w:p w14:paraId="63025930" w14:textId="77777777" w:rsidR="00574286" w:rsidRDefault="00000000">
            <w:pPr>
              <w:widowControl w:val="0"/>
              <w:numPr>
                <w:ilvl w:val="0"/>
                <w:numId w:val="3"/>
              </w:numPr>
              <w:pBdr>
                <w:top w:val="nil"/>
                <w:left w:val="nil"/>
                <w:bottom w:val="nil"/>
                <w:right w:val="nil"/>
                <w:between w:val="nil"/>
              </w:pBdr>
              <w:tabs>
                <w:tab w:val="left" w:pos="320"/>
              </w:tabs>
              <w:ind w:left="1134" w:firstLine="0"/>
              <w:jc w:val="both"/>
              <w:rPr>
                <w:color w:val="000000"/>
                <w:sz w:val="24"/>
                <w:szCs w:val="24"/>
              </w:rPr>
            </w:pPr>
            <w:r>
              <w:rPr>
                <w:rFonts w:ascii="Arial" w:eastAsia="Arial" w:hAnsi="Arial" w:cs="Arial"/>
                <w:color w:val="000000"/>
                <w:sz w:val="24"/>
                <w:szCs w:val="24"/>
                <w:highlight w:val="white"/>
              </w:rPr>
              <w:t>valider par la touche entrée</w:t>
            </w:r>
          </w:p>
          <w:p w14:paraId="6C248178" w14:textId="77777777" w:rsidR="00574286" w:rsidRDefault="00000000">
            <w:pPr>
              <w:widowControl w:val="0"/>
              <w:numPr>
                <w:ilvl w:val="0"/>
                <w:numId w:val="1"/>
              </w:numPr>
              <w:pBdr>
                <w:top w:val="nil"/>
                <w:left w:val="nil"/>
                <w:bottom w:val="nil"/>
                <w:right w:val="nil"/>
                <w:between w:val="nil"/>
              </w:pBdr>
              <w:tabs>
                <w:tab w:val="left" w:pos="320"/>
              </w:tabs>
              <w:spacing w:before="120" w:after="120"/>
              <w:ind w:left="1134" w:hanging="425"/>
              <w:jc w:val="both"/>
              <w:rPr>
                <w:color w:val="000000"/>
                <w:sz w:val="24"/>
                <w:szCs w:val="24"/>
              </w:rPr>
            </w:pPr>
            <w:r>
              <w:rPr>
                <w:rFonts w:ascii="Arial" w:eastAsia="Arial" w:hAnsi="Arial" w:cs="Arial"/>
                <w:color w:val="000000"/>
                <w:sz w:val="24"/>
                <w:szCs w:val="24"/>
                <w:highlight w:val="white"/>
              </w:rPr>
              <w:t xml:space="preserve">Le </w:t>
            </w:r>
            <w:r>
              <w:rPr>
                <w:rFonts w:ascii="Arial" w:eastAsia="Arial" w:hAnsi="Arial" w:cs="Arial"/>
                <w:color w:val="000000"/>
                <w:sz w:val="24"/>
                <w:szCs w:val="24"/>
              </w:rPr>
              <w:t xml:space="preserve">« log </w:t>
            </w:r>
            <w:r>
              <w:rPr>
                <w:rFonts w:ascii="Arial" w:eastAsia="Arial" w:hAnsi="Arial" w:cs="Arial"/>
                <w:color w:val="000000"/>
                <w:sz w:val="24"/>
                <w:szCs w:val="24"/>
                <w:highlight w:val="white"/>
              </w:rPr>
              <w:t>népérien</w:t>
            </w:r>
            <w:r>
              <w:rPr>
                <w:rFonts w:ascii="Arial" w:eastAsia="Arial" w:hAnsi="Arial" w:cs="Arial"/>
                <w:color w:val="000000"/>
                <w:sz w:val="24"/>
                <w:szCs w:val="24"/>
              </w:rPr>
              <w:t xml:space="preserve"> » </w:t>
            </w:r>
            <w:r>
              <w:rPr>
                <w:rFonts w:ascii="Arial" w:eastAsia="Arial" w:hAnsi="Arial" w:cs="Arial"/>
                <w:color w:val="000000"/>
                <w:sz w:val="24"/>
                <w:szCs w:val="24"/>
                <w:highlight w:val="white"/>
              </w:rPr>
              <w:t>se note LN</w:t>
            </w:r>
          </w:p>
          <w:p w14:paraId="4F87BC2C" w14:textId="77777777" w:rsidR="00574286" w:rsidRDefault="00000000">
            <w:pPr>
              <w:widowControl w:val="0"/>
              <w:numPr>
                <w:ilvl w:val="0"/>
                <w:numId w:val="1"/>
              </w:numPr>
              <w:pBdr>
                <w:top w:val="nil"/>
                <w:left w:val="nil"/>
                <w:bottom w:val="nil"/>
                <w:right w:val="nil"/>
                <w:between w:val="nil"/>
              </w:pBdr>
              <w:tabs>
                <w:tab w:val="left" w:pos="320"/>
              </w:tabs>
              <w:spacing w:before="120" w:after="120"/>
              <w:ind w:left="1134" w:hanging="425"/>
              <w:jc w:val="both"/>
              <w:rPr>
                <w:color w:val="000000"/>
                <w:sz w:val="24"/>
                <w:szCs w:val="24"/>
              </w:rPr>
            </w:pPr>
            <w:r>
              <w:rPr>
                <w:rFonts w:ascii="Arial" w:eastAsia="Arial" w:hAnsi="Arial" w:cs="Arial"/>
                <w:color w:val="000000"/>
                <w:sz w:val="24"/>
                <w:szCs w:val="24"/>
              </w:rPr>
              <w:t>6,54.10</w:t>
            </w:r>
            <w:r>
              <w:rPr>
                <w:rFonts w:ascii="Arial" w:eastAsia="Arial" w:hAnsi="Arial" w:cs="Arial"/>
                <w:color w:val="000000"/>
                <w:sz w:val="24"/>
                <w:szCs w:val="24"/>
                <w:vertAlign w:val="superscript"/>
              </w:rPr>
              <w:t>-12</w:t>
            </w:r>
            <w:r>
              <w:rPr>
                <w:rFonts w:ascii="Arial" w:eastAsia="Arial" w:hAnsi="Arial" w:cs="Arial"/>
                <w:color w:val="000000"/>
                <w:sz w:val="24"/>
                <w:szCs w:val="24"/>
              </w:rPr>
              <w:t xml:space="preserve"> se note 6,54E-12</w:t>
            </w:r>
          </w:p>
        </w:tc>
      </w:tr>
    </w:tbl>
    <w:p w14:paraId="41B13EAF" w14:textId="77777777" w:rsidR="00574286" w:rsidRDefault="00000000">
      <w:pPr>
        <w:jc w:val="right"/>
        <w:rPr>
          <w:rFonts w:ascii="Arial" w:eastAsia="Arial" w:hAnsi="Arial" w:cs="Arial"/>
        </w:rPr>
      </w:pPr>
      <w:r>
        <w:br w:type="page"/>
      </w:r>
    </w:p>
    <w:p w14:paraId="47BE9405" w14:textId="77777777" w:rsidR="00574286" w:rsidRDefault="00574286">
      <w:pPr>
        <w:jc w:val="right"/>
        <w:rPr>
          <w:rFonts w:ascii="Arial" w:eastAsia="Arial" w:hAnsi="Arial" w:cs="Arial"/>
        </w:rPr>
      </w:pPr>
    </w:p>
    <w:p w14:paraId="7541527D" w14:textId="77777777" w:rsidR="00574286" w:rsidRDefault="00000000">
      <w:pPr>
        <w:jc w:val="right"/>
        <w:rPr>
          <w:rFonts w:ascii="Arial" w:eastAsia="Arial" w:hAnsi="Arial" w:cs="Arial"/>
          <w:sz w:val="24"/>
          <w:szCs w:val="24"/>
        </w:rPr>
      </w:pPr>
      <w:r>
        <w:rPr>
          <w:rFonts w:ascii="Arial" w:eastAsia="Arial" w:hAnsi="Arial" w:cs="Arial"/>
          <w:sz w:val="24"/>
          <w:szCs w:val="24"/>
        </w:rPr>
        <w:t xml:space="preserve">Fiche sujet – candidat (3/3) </w:t>
      </w:r>
    </w:p>
    <w:tbl>
      <w:tblPr>
        <w:tblStyle w:val="a2"/>
        <w:tblW w:w="15388" w:type="dxa"/>
        <w:tblInd w:w="0" w:type="dxa"/>
        <w:tblLayout w:type="fixed"/>
        <w:tblLook w:val="0000" w:firstRow="0" w:lastRow="0" w:firstColumn="0" w:lastColumn="0" w:noHBand="0" w:noVBand="0"/>
      </w:tblPr>
      <w:tblGrid>
        <w:gridCol w:w="8080"/>
        <w:gridCol w:w="7308"/>
      </w:tblGrid>
      <w:tr w:rsidR="00574286" w14:paraId="21A87C26"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067AF8" w14:textId="77777777" w:rsidR="00574286" w:rsidRDefault="00000000">
            <w:pPr>
              <w:spacing w:before="120" w:after="120"/>
              <w:rPr>
                <w:rFonts w:ascii="Arial" w:eastAsia="Arial" w:hAnsi="Arial" w:cs="Arial"/>
                <w:color w:val="000000"/>
                <w:sz w:val="24"/>
                <w:szCs w:val="24"/>
              </w:rPr>
            </w:pPr>
            <w:r>
              <w:rPr>
                <w:rFonts w:ascii="Arial" w:eastAsia="Arial" w:hAnsi="Arial" w:cs="Arial"/>
                <w:b/>
                <w:color w:val="000000"/>
                <w:sz w:val="24"/>
                <w:szCs w:val="24"/>
              </w:rPr>
              <w:t>Ressources</w:t>
            </w:r>
          </w:p>
        </w:tc>
      </w:tr>
      <w:tr w:rsidR="00574286" w14:paraId="5EF17CA0" w14:textId="77777777">
        <w:trPr>
          <w:trHeight w:val="20"/>
        </w:trPr>
        <w:tc>
          <w:tcPr>
            <w:tcW w:w="8080" w:type="dxa"/>
            <w:tcBorders>
              <w:top w:val="single" w:sz="4" w:space="0" w:color="000000"/>
              <w:left w:val="single" w:sz="4" w:space="0" w:color="000000"/>
              <w:bottom w:val="single" w:sz="4" w:space="0" w:color="000000"/>
            </w:tcBorders>
            <w:shd w:val="clear" w:color="auto" w:fill="auto"/>
          </w:tcPr>
          <w:p w14:paraId="57AF818A"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spacing w:before="120" w:after="120"/>
              <w:jc w:val="left"/>
              <w:rPr>
                <w:rFonts w:ascii="Arial" w:eastAsia="Arial" w:hAnsi="Arial" w:cs="Arial"/>
                <w:color w:val="000000"/>
                <w:sz w:val="24"/>
                <w:szCs w:val="24"/>
              </w:rPr>
            </w:pPr>
            <w:r>
              <w:rPr>
                <w:rFonts w:ascii="Arial" w:eastAsia="Arial" w:hAnsi="Arial" w:cs="Arial"/>
                <w:b/>
                <w:color w:val="000000"/>
                <w:sz w:val="24"/>
                <w:szCs w:val="24"/>
              </w:rPr>
              <w:t>Les principales orogenèses en Europe :</w:t>
            </w:r>
          </w:p>
          <w:p w14:paraId="03096CC5"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jc w:val="both"/>
              <w:rPr>
                <w:rFonts w:ascii="Arial" w:eastAsia="Arial" w:hAnsi="Arial" w:cs="Arial"/>
                <w:color w:val="000000"/>
                <w:sz w:val="24"/>
                <w:szCs w:val="24"/>
              </w:rPr>
            </w:pPr>
            <w:r>
              <w:rPr>
                <w:rFonts w:ascii="Arial" w:eastAsia="Arial" w:hAnsi="Arial" w:cs="Arial"/>
                <w:color w:val="000000"/>
                <w:sz w:val="24"/>
                <w:szCs w:val="24"/>
              </w:rPr>
              <w:t>On identifie cinq orogenèses :</w:t>
            </w:r>
          </w:p>
          <w:p w14:paraId="1B9E68AE"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ind w:firstLine="113"/>
              <w:jc w:val="both"/>
              <w:rPr>
                <w:rFonts w:ascii="Arial" w:eastAsia="Arial" w:hAnsi="Arial" w:cs="Arial"/>
                <w:color w:val="000000"/>
                <w:sz w:val="24"/>
                <w:szCs w:val="24"/>
              </w:rPr>
            </w:pPr>
            <w:r>
              <w:rPr>
                <w:rFonts w:ascii="Arial" w:eastAsia="Arial" w:hAnsi="Arial" w:cs="Arial"/>
                <w:color w:val="000000"/>
                <w:sz w:val="24"/>
                <w:szCs w:val="24"/>
              </w:rPr>
              <w:t>- orogenèse icartienne : datée de -2 200 Ma à -1 800 Ma ;</w:t>
            </w:r>
          </w:p>
          <w:p w14:paraId="2722AE03"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ind w:firstLine="113"/>
              <w:jc w:val="both"/>
              <w:rPr>
                <w:rFonts w:ascii="Arial" w:eastAsia="Arial" w:hAnsi="Arial" w:cs="Arial"/>
                <w:color w:val="000000"/>
                <w:sz w:val="24"/>
                <w:szCs w:val="24"/>
              </w:rPr>
            </w:pPr>
            <w:r>
              <w:rPr>
                <w:rFonts w:ascii="Arial" w:eastAsia="Arial" w:hAnsi="Arial" w:cs="Arial"/>
                <w:color w:val="000000"/>
                <w:sz w:val="24"/>
                <w:szCs w:val="24"/>
              </w:rPr>
              <w:t>- orogenèse cadomienne : datée de -660 Ma à -540 Ma ;</w:t>
            </w:r>
          </w:p>
          <w:p w14:paraId="787A688D"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ind w:firstLine="113"/>
              <w:jc w:val="both"/>
              <w:rPr>
                <w:rFonts w:ascii="Arial" w:eastAsia="Arial" w:hAnsi="Arial" w:cs="Arial"/>
                <w:color w:val="000000"/>
                <w:sz w:val="24"/>
                <w:szCs w:val="24"/>
              </w:rPr>
            </w:pPr>
            <w:r>
              <w:rPr>
                <w:rFonts w:ascii="Arial" w:eastAsia="Arial" w:hAnsi="Arial" w:cs="Arial"/>
                <w:color w:val="000000"/>
                <w:sz w:val="24"/>
                <w:szCs w:val="24"/>
              </w:rPr>
              <w:t>- orogenèse calédonienne : datée de -444 Ma à -416 Ma ;</w:t>
            </w:r>
          </w:p>
          <w:p w14:paraId="0B09E3A9"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ind w:firstLine="113"/>
              <w:jc w:val="both"/>
              <w:rPr>
                <w:rFonts w:ascii="Arial" w:eastAsia="Arial" w:hAnsi="Arial" w:cs="Arial"/>
                <w:color w:val="000000"/>
                <w:sz w:val="24"/>
                <w:szCs w:val="24"/>
              </w:rPr>
            </w:pPr>
            <w:r>
              <w:rPr>
                <w:rFonts w:ascii="Arial" w:eastAsia="Arial" w:hAnsi="Arial" w:cs="Arial"/>
                <w:color w:val="000000"/>
                <w:sz w:val="24"/>
                <w:szCs w:val="24"/>
              </w:rPr>
              <w:t>- orogenèse hercynienne : datée de -420 Ma à -290 Ma ;</w:t>
            </w:r>
          </w:p>
          <w:p w14:paraId="156F7661"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spacing w:after="120"/>
              <w:ind w:firstLine="113"/>
              <w:jc w:val="both"/>
              <w:rPr>
                <w:rFonts w:ascii="Arial" w:eastAsia="Arial" w:hAnsi="Arial" w:cs="Arial"/>
                <w:color w:val="000000"/>
                <w:sz w:val="24"/>
                <w:szCs w:val="24"/>
              </w:rPr>
            </w:pPr>
            <w:r>
              <w:rPr>
                <w:rFonts w:ascii="Arial" w:eastAsia="Arial" w:hAnsi="Arial" w:cs="Arial"/>
                <w:color w:val="000000"/>
                <w:sz w:val="24"/>
                <w:szCs w:val="24"/>
              </w:rPr>
              <w:t>- orogenèse alpine : de -250 Ma à l’actuel.</w:t>
            </w:r>
          </w:p>
        </w:tc>
        <w:tc>
          <w:tcPr>
            <w:tcW w:w="730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1D329D" w14:textId="77777777" w:rsidR="00574286" w:rsidRDefault="00000000">
            <w:pPr>
              <w:spacing w:before="120" w:after="120"/>
              <w:jc w:val="left"/>
              <w:rPr>
                <w:rFonts w:ascii="Arial" w:eastAsia="Arial" w:hAnsi="Arial" w:cs="Arial"/>
                <w:color w:val="000000"/>
                <w:sz w:val="24"/>
                <w:szCs w:val="24"/>
              </w:rPr>
            </w:pPr>
            <w:r>
              <w:rPr>
                <w:rFonts w:ascii="Arial" w:eastAsia="Arial" w:hAnsi="Arial" w:cs="Arial"/>
                <w:b/>
                <w:color w:val="000000"/>
                <w:sz w:val="24"/>
                <w:szCs w:val="24"/>
              </w:rPr>
              <w:t>La méthode de datation samarium / néodyme :</w:t>
            </w:r>
          </w:p>
          <w:p w14:paraId="2B2BA6E6" w14:textId="77777777" w:rsidR="00574286" w:rsidRDefault="00000000">
            <w:pPr>
              <w:spacing w:after="60"/>
              <w:jc w:val="left"/>
              <w:rPr>
                <w:rFonts w:ascii="Arial" w:eastAsia="Arial" w:hAnsi="Arial" w:cs="Arial"/>
                <w:color w:val="000000"/>
                <w:sz w:val="24"/>
                <w:szCs w:val="24"/>
              </w:rPr>
            </w:pPr>
            <w:r>
              <w:rPr>
                <w:rFonts w:ascii="Arial" w:eastAsia="Arial" w:hAnsi="Arial" w:cs="Arial"/>
                <w:color w:val="000000"/>
                <w:sz w:val="24"/>
                <w:szCs w:val="24"/>
              </w:rPr>
              <w:t xml:space="preserve">Lors de la formation d’une roche magmatique, du samarium (Sm) ou du néodyme (Nd) sont intégrés dans certains minéraux, en particulier ceux contenant de l’aluminium (Al) ou du calcium (Ca). Chacun de ces éléments possède plusieurs isotopes : </w:t>
            </w:r>
            <w:r>
              <w:rPr>
                <w:rFonts w:ascii="Arial" w:eastAsia="Arial" w:hAnsi="Arial" w:cs="Arial"/>
                <w:color w:val="000000"/>
                <w:sz w:val="24"/>
                <w:szCs w:val="24"/>
                <w:vertAlign w:val="superscript"/>
              </w:rPr>
              <w:t>144</w:t>
            </w:r>
            <w:r>
              <w:rPr>
                <w:rFonts w:ascii="Arial" w:eastAsia="Arial" w:hAnsi="Arial" w:cs="Arial"/>
                <w:color w:val="000000"/>
                <w:sz w:val="24"/>
                <w:szCs w:val="24"/>
              </w:rPr>
              <w:t xml:space="preserve">Sm et </w:t>
            </w:r>
            <w:r>
              <w:rPr>
                <w:rFonts w:ascii="Arial" w:eastAsia="Arial" w:hAnsi="Arial" w:cs="Arial"/>
                <w:color w:val="000000"/>
                <w:sz w:val="24"/>
                <w:szCs w:val="24"/>
                <w:vertAlign w:val="superscript"/>
              </w:rPr>
              <w:t>147</w:t>
            </w:r>
            <w:r>
              <w:rPr>
                <w:rFonts w:ascii="Arial" w:eastAsia="Arial" w:hAnsi="Arial" w:cs="Arial"/>
                <w:color w:val="000000"/>
                <w:sz w:val="24"/>
                <w:szCs w:val="24"/>
              </w:rPr>
              <w:t xml:space="preserve">Sm pour le samarium et </w:t>
            </w:r>
            <w:r>
              <w:rPr>
                <w:rFonts w:ascii="Arial" w:eastAsia="Arial" w:hAnsi="Arial" w:cs="Arial"/>
                <w:color w:val="000000"/>
                <w:sz w:val="24"/>
                <w:szCs w:val="24"/>
                <w:vertAlign w:val="superscript"/>
              </w:rPr>
              <w:t>142</w:t>
            </w:r>
            <w:r>
              <w:rPr>
                <w:rFonts w:ascii="Arial" w:eastAsia="Arial" w:hAnsi="Arial" w:cs="Arial"/>
                <w:color w:val="000000"/>
                <w:sz w:val="24"/>
                <w:szCs w:val="24"/>
              </w:rPr>
              <w:t xml:space="preserve">Nd, </w:t>
            </w:r>
            <w:r>
              <w:rPr>
                <w:rFonts w:ascii="Arial" w:eastAsia="Arial" w:hAnsi="Arial" w:cs="Arial"/>
                <w:color w:val="000000"/>
                <w:sz w:val="24"/>
                <w:szCs w:val="24"/>
                <w:vertAlign w:val="superscript"/>
              </w:rPr>
              <w:t>143</w:t>
            </w:r>
            <w:r>
              <w:rPr>
                <w:rFonts w:ascii="Arial" w:eastAsia="Arial" w:hAnsi="Arial" w:cs="Arial"/>
                <w:color w:val="000000"/>
                <w:sz w:val="24"/>
                <w:szCs w:val="24"/>
              </w:rPr>
              <w:t xml:space="preserve">Nd, </w:t>
            </w:r>
            <w:r>
              <w:rPr>
                <w:rFonts w:ascii="Arial" w:eastAsia="Arial" w:hAnsi="Arial" w:cs="Arial"/>
                <w:color w:val="000000"/>
                <w:sz w:val="24"/>
                <w:szCs w:val="24"/>
                <w:vertAlign w:val="superscript"/>
              </w:rPr>
              <w:t>144</w:t>
            </w:r>
            <w:r>
              <w:rPr>
                <w:rFonts w:ascii="Arial" w:eastAsia="Arial" w:hAnsi="Arial" w:cs="Arial"/>
                <w:color w:val="000000"/>
                <w:sz w:val="24"/>
                <w:szCs w:val="24"/>
              </w:rPr>
              <w:t xml:space="preserve">Nd et </w:t>
            </w:r>
            <w:r>
              <w:rPr>
                <w:rFonts w:ascii="Arial" w:eastAsia="Arial" w:hAnsi="Arial" w:cs="Arial"/>
                <w:color w:val="000000"/>
                <w:sz w:val="24"/>
                <w:szCs w:val="24"/>
                <w:vertAlign w:val="superscript"/>
              </w:rPr>
              <w:t>145</w:t>
            </w:r>
            <w:r>
              <w:rPr>
                <w:rFonts w:ascii="Arial" w:eastAsia="Arial" w:hAnsi="Arial" w:cs="Arial"/>
                <w:color w:val="000000"/>
                <w:sz w:val="24"/>
                <w:szCs w:val="24"/>
              </w:rPr>
              <w:t>Nd pour le néodyme.</w:t>
            </w:r>
          </w:p>
          <w:p w14:paraId="44AE94C1" w14:textId="77777777" w:rsidR="00574286" w:rsidRDefault="00000000">
            <w:pPr>
              <w:spacing w:after="60"/>
              <w:jc w:val="left"/>
              <w:rPr>
                <w:rFonts w:ascii="Arial" w:eastAsia="Arial" w:hAnsi="Arial" w:cs="Arial"/>
                <w:color w:val="000000"/>
                <w:sz w:val="24"/>
                <w:szCs w:val="24"/>
              </w:rPr>
            </w:pPr>
            <w:r>
              <w:rPr>
                <w:rFonts w:ascii="Arial" w:eastAsia="Arial" w:hAnsi="Arial" w:cs="Arial"/>
                <w:color w:val="000000"/>
                <w:sz w:val="24"/>
                <w:szCs w:val="24"/>
              </w:rPr>
              <w:t xml:space="preserve">L’isotope </w:t>
            </w:r>
            <w:r>
              <w:rPr>
                <w:rFonts w:ascii="Arial" w:eastAsia="Arial" w:hAnsi="Arial" w:cs="Arial"/>
                <w:color w:val="000000"/>
                <w:sz w:val="24"/>
                <w:szCs w:val="24"/>
                <w:vertAlign w:val="superscript"/>
              </w:rPr>
              <w:t>147</w:t>
            </w:r>
            <w:r>
              <w:rPr>
                <w:rFonts w:ascii="Arial" w:eastAsia="Arial" w:hAnsi="Arial" w:cs="Arial"/>
                <w:color w:val="000000"/>
                <w:sz w:val="24"/>
                <w:szCs w:val="24"/>
              </w:rPr>
              <w:t xml:space="preserve">Sm est radioactif et se désintègre en </w:t>
            </w:r>
            <w:r>
              <w:rPr>
                <w:rFonts w:ascii="Arial" w:eastAsia="Arial" w:hAnsi="Arial" w:cs="Arial"/>
                <w:color w:val="000000"/>
                <w:sz w:val="24"/>
                <w:szCs w:val="24"/>
                <w:vertAlign w:val="superscript"/>
              </w:rPr>
              <w:t>143</w:t>
            </w:r>
            <w:r>
              <w:rPr>
                <w:rFonts w:ascii="Arial" w:eastAsia="Arial" w:hAnsi="Arial" w:cs="Arial"/>
                <w:color w:val="000000"/>
                <w:sz w:val="24"/>
                <w:szCs w:val="24"/>
              </w:rPr>
              <w:t>Nd stable avec une durée de demi-vie de 1,06.10</w:t>
            </w:r>
            <w:r>
              <w:rPr>
                <w:rFonts w:ascii="Arial" w:eastAsia="Arial" w:hAnsi="Arial" w:cs="Arial"/>
                <w:color w:val="000000"/>
                <w:sz w:val="24"/>
                <w:szCs w:val="24"/>
                <w:vertAlign w:val="superscript"/>
              </w:rPr>
              <w:t>11</w:t>
            </w:r>
            <w:r>
              <w:rPr>
                <w:rFonts w:ascii="Arial" w:eastAsia="Arial" w:hAnsi="Arial" w:cs="Arial"/>
                <w:color w:val="000000"/>
                <w:sz w:val="24"/>
                <w:szCs w:val="24"/>
              </w:rPr>
              <w:t xml:space="preserve"> ans. </w:t>
            </w:r>
            <w:r>
              <w:rPr>
                <w:rFonts w:ascii="Arial" w:eastAsia="Arial" w:hAnsi="Arial" w:cs="Arial"/>
                <w:color w:val="000000"/>
                <w:sz w:val="24"/>
                <w:szCs w:val="24"/>
                <w:vertAlign w:val="superscript"/>
              </w:rPr>
              <w:t>144</w:t>
            </w:r>
            <w:r>
              <w:rPr>
                <w:rFonts w:ascii="Arial" w:eastAsia="Arial" w:hAnsi="Arial" w:cs="Arial"/>
                <w:color w:val="000000"/>
                <w:sz w:val="24"/>
                <w:szCs w:val="24"/>
              </w:rPr>
              <w:t>Nd est un isotope stable du néodyme.</w:t>
            </w:r>
          </w:p>
          <w:p w14:paraId="788D89B9" w14:textId="77777777" w:rsidR="00574286" w:rsidRDefault="00000000">
            <w:pPr>
              <w:spacing w:after="120"/>
              <w:jc w:val="left"/>
              <w:rPr>
                <w:rFonts w:ascii="Arial" w:eastAsia="Arial" w:hAnsi="Arial" w:cs="Arial"/>
                <w:color w:val="000000"/>
                <w:sz w:val="24"/>
                <w:szCs w:val="24"/>
              </w:rPr>
            </w:pPr>
            <w:r>
              <w:rPr>
                <w:rFonts w:ascii="Arial" w:eastAsia="Arial" w:hAnsi="Arial" w:cs="Arial"/>
                <w:color w:val="000000"/>
                <w:sz w:val="24"/>
                <w:szCs w:val="24"/>
              </w:rPr>
              <w:t xml:space="preserve">On peut utiliser le couple Sm / Nd comme radiochronomètre : la mesure des rapports </w:t>
            </w:r>
            <w:r>
              <w:rPr>
                <w:rFonts w:ascii="Arial" w:eastAsia="Arial" w:hAnsi="Arial" w:cs="Arial"/>
                <w:color w:val="000000"/>
                <w:sz w:val="24"/>
                <w:szCs w:val="24"/>
                <w:vertAlign w:val="superscript"/>
              </w:rPr>
              <w:t>147</w:t>
            </w:r>
            <w:r>
              <w:rPr>
                <w:rFonts w:ascii="Arial" w:eastAsia="Arial" w:hAnsi="Arial" w:cs="Arial"/>
                <w:color w:val="000000"/>
                <w:sz w:val="24"/>
                <w:szCs w:val="24"/>
              </w:rPr>
              <w:t xml:space="preserve">Sm / </w:t>
            </w:r>
            <w:r>
              <w:rPr>
                <w:rFonts w:ascii="Arial" w:eastAsia="Arial" w:hAnsi="Arial" w:cs="Arial"/>
                <w:color w:val="000000"/>
                <w:sz w:val="24"/>
                <w:szCs w:val="24"/>
                <w:vertAlign w:val="superscript"/>
              </w:rPr>
              <w:t>144</w:t>
            </w:r>
            <w:r>
              <w:rPr>
                <w:rFonts w:ascii="Arial" w:eastAsia="Arial" w:hAnsi="Arial" w:cs="Arial"/>
                <w:color w:val="000000"/>
                <w:sz w:val="24"/>
                <w:szCs w:val="24"/>
              </w:rPr>
              <w:t xml:space="preserve">Nd et </w:t>
            </w:r>
            <w:r>
              <w:rPr>
                <w:rFonts w:ascii="Arial" w:eastAsia="Arial" w:hAnsi="Arial" w:cs="Arial"/>
                <w:color w:val="000000"/>
                <w:sz w:val="24"/>
                <w:szCs w:val="24"/>
                <w:vertAlign w:val="superscript"/>
              </w:rPr>
              <w:t>143</w:t>
            </w:r>
            <w:r>
              <w:rPr>
                <w:rFonts w:ascii="Arial" w:eastAsia="Arial" w:hAnsi="Arial" w:cs="Arial"/>
                <w:color w:val="000000"/>
                <w:sz w:val="24"/>
                <w:szCs w:val="24"/>
              </w:rPr>
              <w:t xml:space="preserve">Nd / </w:t>
            </w:r>
            <w:r>
              <w:rPr>
                <w:rFonts w:ascii="Arial" w:eastAsia="Arial" w:hAnsi="Arial" w:cs="Arial"/>
                <w:color w:val="000000"/>
                <w:sz w:val="24"/>
                <w:szCs w:val="24"/>
                <w:vertAlign w:val="superscript"/>
              </w:rPr>
              <w:t>144</w:t>
            </w:r>
            <w:r>
              <w:rPr>
                <w:rFonts w:ascii="Arial" w:eastAsia="Arial" w:hAnsi="Arial" w:cs="Arial"/>
                <w:color w:val="000000"/>
                <w:sz w:val="24"/>
                <w:szCs w:val="24"/>
              </w:rPr>
              <w:t>Nd permet de tracer une droite isochrone de coefficient directeur a. L’âge de la roche est alors t :</w:t>
            </w:r>
          </w:p>
          <w:p w14:paraId="68E987B3" w14:textId="77777777" w:rsidR="00574286" w:rsidRDefault="00000000">
            <w:pPr>
              <w:rPr>
                <w:rFonts w:ascii="Arial" w:eastAsia="Arial" w:hAnsi="Arial" w:cs="Arial"/>
                <w:color w:val="000000"/>
                <w:sz w:val="24"/>
                <w:szCs w:val="24"/>
              </w:rPr>
            </w:pPr>
            <w:r>
              <w:rPr>
                <w:rFonts w:ascii="Arial" w:eastAsia="Arial" w:hAnsi="Arial" w:cs="Arial"/>
                <w:color w:val="000000"/>
                <w:sz w:val="24"/>
                <w:szCs w:val="24"/>
              </w:rPr>
              <w:t xml:space="preserve">t = ln (a + 1) / </w:t>
            </w:r>
            <w:r>
              <w:rPr>
                <w:rFonts w:ascii="Noto Sans Symbols" w:eastAsia="Noto Sans Symbols" w:hAnsi="Noto Sans Symbols" w:cs="Noto Sans Symbols"/>
                <w:color w:val="000000"/>
                <w:sz w:val="24"/>
                <w:szCs w:val="24"/>
              </w:rPr>
              <w:t>λ</w:t>
            </w:r>
            <w:r>
              <w:rPr>
                <w:rFonts w:ascii="Arial" w:eastAsia="Arial" w:hAnsi="Arial" w:cs="Arial"/>
                <w:color w:val="000000"/>
                <w:sz w:val="24"/>
                <w:szCs w:val="24"/>
              </w:rPr>
              <w:t xml:space="preserve">           avec </w:t>
            </w:r>
            <w:r>
              <w:rPr>
                <w:rFonts w:ascii="Noto Sans Symbols" w:eastAsia="Noto Sans Symbols" w:hAnsi="Noto Sans Symbols" w:cs="Noto Sans Symbols"/>
                <w:color w:val="000000"/>
                <w:sz w:val="24"/>
                <w:szCs w:val="24"/>
              </w:rPr>
              <w:t>λ</w:t>
            </w:r>
            <w:r>
              <w:rPr>
                <w:rFonts w:ascii="Arial" w:eastAsia="Arial" w:hAnsi="Arial" w:cs="Arial"/>
                <w:color w:val="000000"/>
                <w:sz w:val="24"/>
                <w:szCs w:val="24"/>
              </w:rPr>
              <w:t xml:space="preserve"> =  6,54.10</w:t>
            </w:r>
            <w:r>
              <w:rPr>
                <w:rFonts w:ascii="Arial" w:eastAsia="Arial" w:hAnsi="Arial" w:cs="Arial"/>
                <w:color w:val="000000"/>
                <w:sz w:val="24"/>
                <w:szCs w:val="24"/>
                <w:vertAlign w:val="superscript"/>
              </w:rPr>
              <w:t>-12</w:t>
            </w:r>
            <w:r>
              <w:rPr>
                <w:rFonts w:ascii="Arial" w:eastAsia="Arial" w:hAnsi="Arial" w:cs="Arial"/>
                <w:color w:val="000000"/>
                <w:sz w:val="24"/>
                <w:szCs w:val="24"/>
              </w:rPr>
              <w:t>.an</w:t>
            </w:r>
            <w:r>
              <w:rPr>
                <w:rFonts w:ascii="Arial" w:eastAsia="Arial" w:hAnsi="Arial" w:cs="Arial"/>
                <w:color w:val="000000"/>
                <w:sz w:val="24"/>
                <w:szCs w:val="24"/>
                <w:vertAlign w:val="superscript"/>
              </w:rPr>
              <w:t>-1</w:t>
            </w:r>
          </w:p>
          <w:p w14:paraId="6207C3DA" w14:textId="77777777" w:rsidR="00574286" w:rsidRDefault="00000000">
            <w:pPr>
              <w:ind w:firstLine="3572"/>
              <w:jc w:val="left"/>
              <w:rPr>
                <w:rFonts w:ascii="Arial" w:eastAsia="Arial" w:hAnsi="Arial" w:cs="Arial"/>
                <w:color w:val="000000"/>
                <w:sz w:val="24"/>
                <w:szCs w:val="24"/>
              </w:rPr>
            </w:pPr>
            <w:r>
              <w:rPr>
                <w:rFonts w:ascii="Arial" w:eastAsia="Arial" w:hAnsi="Arial" w:cs="Arial"/>
                <w:color w:val="000000"/>
                <w:sz w:val="24"/>
                <w:szCs w:val="24"/>
              </w:rPr>
              <w:t>et ln est le  « log   népérien»</w:t>
            </w:r>
          </w:p>
        </w:tc>
      </w:tr>
      <w:tr w:rsidR="00574286" w14:paraId="082DE6ED" w14:textId="77777777">
        <w:trPr>
          <w:trHeight w:val="3402"/>
        </w:trPr>
        <w:tc>
          <w:tcPr>
            <w:tcW w:w="8080" w:type="dxa"/>
            <w:tcBorders>
              <w:left w:val="single" w:sz="4" w:space="0" w:color="000000"/>
              <w:bottom w:val="single" w:sz="4" w:space="0" w:color="000000"/>
            </w:tcBorders>
            <w:shd w:val="clear" w:color="auto" w:fill="auto"/>
          </w:tcPr>
          <w:p w14:paraId="7146FEAF" w14:textId="77777777" w:rsidR="00574286" w:rsidRDefault="00000000">
            <w:pPr>
              <w:pBdr>
                <w:top w:val="none" w:sz="0" w:space="0" w:color="000000"/>
                <w:left w:val="none" w:sz="0" w:space="0" w:color="000000"/>
                <w:bottom w:val="none" w:sz="0" w:space="0" w:color="000000"/>
                <w:right w:val="none" w:sz="0" w:space="0" w:color="000000"/>
                <w:between w:val="nil"/>
              </w:pBdr>
              <w:shd w:val="clear" w:color="auto" w:fill="FFFFFF"/>
              <w:tabs>
                <w:tab w:val="left" w:pos="10"/>
              </w:tabs>
              <w:spacing w:before="120" w:after="120"/>
              <w:jc w:val="left"/>
              <w:rPr>
                <w:rFonts w:ascii="Arial" w:eastAsia="Arial" w:hAnsi="Arial" w:cs="Arial"/>
                <w:color w:val="000000"/>
                <w:sz w:val="24"/>
                <w:szCs w:val="24"/>
              </w:rPr>
            </w:pPr>
            <w:r>
              <w:rPr>
                <w:rFonts w:ascii="Arial" w:eastAsia="Arial" w:hAnsi="Arial" w:cs="Arial"/>
                <w:b/>
                <w:color w:val="000000"/>
                <w:sz w:val="24"/>
                <w:szCs w:val="24"/>
              </w:rPr>
              <w:t>Formule chimique de quelques minéraux :</w:t>
            </w:r>
          </w:p>
          <w:tbl>
            <w:tblPr>
              <w:tblStyle w:val="a3"/>
              <w:tblW w:w="7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5241"/>
            </w:tblGrid>
            <w:tr w:rsidR="00574286" w14:paraId="6056068F" w14:textId="77777777">
              <w:tc>
                <w:tcPr>
                  <w:tcW w:w="2613" w:type="dxa"/>
                  <w:shd w:val="clear" w:color="auto" w:fill="auto"/>
                </w:tcPr>
                <w:p w14:paraId="4BA56361" w14:textId="77777777" w:rsidR="0057428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Minéral</w:t>
                  </w:r>
                </w:p>
              </w:tc>
              <w:tc>
                <w:tcPr>
                  <w:tcW w:w="5241" w:type="dxa"/>
                  <w:shd w:val="clear" w:color="auto" w:fill="auto"/>
                </w:tcPr>
                <w:p w14:paraId="22E257FB" w14:textId="77777777" w:rsidR="0057428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Formule chimique</w:t>
                  </w:r>
                </w:p>
              </w:tc>
            </w:tr>
            <w:tr w:rsidR="00574286" w14:paraId="204656B2" w14:textId="77777777">
              <w:tc>
                <w:tcPr>
                  <w:tcW w:w="2613" w:type="dxa"/>
                  <w:shd w:val="clear" w:color="auto" w:fill="auto"/>
                </w:tcPr>
                <w:p w14:paraId="5F4675A3" w14:textId="77777777" w:rsidR="0057428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Grenat</w:t>
                  </w:r>
                </w:p>
              </w:tc>
              <w:tc>
                <w:tcPr>
                  <w:tcW w:w="5241" w:type="dxa"/>
                  <w:shd w:val="clear" w:color="auto" w:fill="auto"/>
                </w:tcPr>
                <w:p w14:paraId="2D1BD851" w14:textId="77777777" w:rsidR="00574286" w:rsidRDefault="00000000">
                  <w:pPr>
                    <w:jc w:val="left"/>
                    <w:rPr>
                      <w:rFonts w:ascii="Arial" w:eastAsia="Arial" w:hAnsi="Arial" w:cs="Arial"/>
                      <w:color w:val="000000"/>
                      <w:sz w:val="24"/>
                      <w:szCs w:val="24"/>
                    </w:rPr>
                  </w:pPr>
                  <w:r>
                    <w:rPr>
                      <w:rFonts w:ascii="Arial" w:eastAsia="Arial" w:hAnsi="Arial" w:cs="Arial"/>
                      <w:color w:val="000000"/>
                      <w:sz w:val="24"/>
                      <w:szCs w:val="24"/>
                    </w:rPr>
                    <w:t>(Ca, Mg, Fe</w:t>
                  </w:r>
                  <w:r>
                    <w:rPr>
                      <w:rFonts w:ascii="Arial" w:eastAsia="Arial" w:hAnsi="Arial" w:cs="Arial"/>
                      <w:color w:val="000000"/>
                      <w:sz w:val="24"/>
                      <w:szCs w:val="24"/>
                      <w:vertAlign w:val="superscript"/>
                    </w:rPr>
                    <w:t>2+</w:t>
                  </w:r>
                  <w:r>
                    <w:rPr>
                      <w:rFonts w:ascii="Arial" w:eastAsia="Arial" w:hAnsi="Arial" w:cs="Arial"/>
                      <w:color w:val="000000"/>
                      <w:sz w:val="24"/>
                      <w:szCs w:val="24"/>
                    </w:rPr>
                    <w:t>, Mn</w:t>
                  </w:r>
                  <w:r>
                    <w:rPr>
                      <w:rFonts w:ascii="Arial" w:eastAsia="Arial" w:hAnsi="Arial" w:cs="Arial"/>
                      <w:color w:val="000000"/>
                      <w:sz w:val="24"/>
                      <w:szCs w:val="24"/>
                      <w:vertAlign w:val="superscript"/>
                    </w:rPr>
                    <w:t>2+</w:t>
                  </w:r>
                  <w:r>
                    <w:rPr>
                      <w:rFonts w:ascii="Arial" w:eastAsia="Arial" w:hAnsi="Arial" w:cs="Arial"/>
                      <w:color w:val="000000"/>
                      <w:sz w:val="24"/>
                      <w:szCs w:val="24"/>
                    </w:rPr>
                    <w:t>)</w:t>
                  </w:r>
                  <w:r>
                    <w:rPr>
                      <w:rFonts w:ascii="Arial" w:eastAsia="Arial" w:hAnsi="Arial" w:cs="Arial"/>
                      <w:color w:val="000000"/>
                      <w:sz w:val="24"/>
                      <w:szCs w:val="24"/>
                      <w:vertAlign w:val="subscript"/>
                    </w:rPr>
                    <w:t xml:space="preserve">3 </w:t>
                  </w:r>
                  <w:r>
                    <w:rPr>
                      <w:rFonts w:ascii="Arial" w:eastAsia="Arial" w:hAnsi="Arial" w:cs="Arial"/>
                      <w:color w:val="000000"/>
                      <w:sz w:val="24"/>
                      <w:szCs w:val="24"/>
                    </w:rPr>
                    <w:t>(Al, Fe</w:t>
                  </w:r>
                  <w:r>
                    <w:rPr>
                      <w:rFonts w:ascii="Arial" w:eastAsia="Arial" w:hAnsi="Arial" w:cs="Arial"/>
                      <w:color w:val="000000"/>
                      <w:sz w:val="24"/>
                      <w:szCs w:val="24"/>
                      <w:vertAlign w:val="superscript"/>
                    </w:rPr>
                    <w:t>3+</w:t>
                  </w:r>
                  <w:r>
                    <w:rPr>
                      <w:rFonts w:ascii="Arial" w:eastAsia="Arial" w:hAnsi="Arial" w:cs="Arial"/>
                      <w:color w:val="000000"/>
                      <w:sz w:val="24"/>
                      <w:szCs w:val="24"/>
                    </w:rPr>
                    <w:t>, Cr</w:t>
                  </w:r>
                  <w:r>
                    <w:rPr>
                      <w:rFonts w:ascii="Arial" w:eastAsia="Arial" w:hAnsi="Arial" w:cs="Arial"/>
                      <w:color w:val="000000"/>
                      <w:sz w:val="24"/>
                      <w:szCs w:val="24"/>
                      <w:vertAlign w:val="superscript"/>
                    </w:rPr>
                    <w:t>3+</w:t>
                  </w:r>
                  <w:r>
                    <w:rPr>
                      <w:rFonts w:ascii="Arial" w:eastAsia="Arial" w:hAnsi="Arial" w:cs="Arial"/>
                      <w:color w:val="000000"/>
                      <w:sz w:val="24"/>
                      <w:szCs w:val="24"/>
                    </w:rPr>
                    <w:t>)</w:t>
                  </w:r>
                  <w:r>
                    <w:rPr>
                      <w:rFonts w:ascii="Arial" w:eastAsia="Arial" w:hAnsi="Arial" w:cs="Arial"/>
                      <w:color w:val="000000"/>
                      <w:sz w:val="24"/>
                      <w:szCs w:val="24"/>
                      <w:vertAlign w:val="subscript"/>
                    </w:rPr>
                    <w:t xml:space="preserve">2 </w:t>
                  </w:r>
                  <w:r>
                    <w:rPr>
                      <w:rFonts w:ascii="Arial" w:eastAsia="Arial" w:hAnsi="Arial" w:cs="Arial"/>
                      <w:color w:val="000000"/>
                      <w:sz w:val="24"/>
                      <w:szCs w:val="24"/>
                    </w:rPr>
                    <w:t>(SiO</w:t>
                  </w:r>
                  <w:r>
                    <w:rPr>
                      <w:rFonts w:ascii="Arial" w:eastAsia="Arial" w:hAnsi="Arial" w:cs="Arial"/>
                      <w:color w:val="000000"/>
                      <w:sz w:val="24"/>
                      <w:szCs w:val="24"/>
                      <w:vertAlign w:val="subscript"/>
                    </w:rPr>
                    <w:t>4</w:t>
                  </w:r>
                  <w:r>
                    <w:rPr>
                      <w:rFonts w:ascii="Arial" w:eastAsia="Arial" w:hAnsi="Arial" w:cs="Arial"/>
                      <w:color w:val="000000"/>
                      <w:sz w:val="24"/>
                      <w:szCs w:val="24"/>
                    </w:rPr>
                    <w:t>)</w:t>
                  </w:r>
                  <w:r>
                    <w:rPr>
                      <w:rFonts w:ascii="Arial" w:eastAsia="Arial" w:hAnsi="Arial" w:cs="Arial"/>
                      <w:color w:val="000000"/>
                      <w:sz w:val="24"/>
                      <w:szCs w:val="24"/>
                      <w:vertAlign w:val="subscript"/>
                    </w:rPr>
                    <w:t>3</w:t>
                  </w:r>
                </w:p>
              </w:tc>
            </w:tr>
            <w:tr w:rsidR="00574286" w14:paraId="1896D334" w14:textId="77777777">
              <w:tc>
                <w:tcPr>
                  <w:tcW w:w="2613" w:type="dxa"/>
                  <w:shd w:val="clear" w:color="auto" w:fill="auto"/>
                </w:tcPr>
                <w:p w14:paraId="4578B824" w14:textId="77777777" w:rsidR="0057428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Glaucophane</w:t>
                  </w:r>
                </w:p>
              </w:tc>
              <w:tc>
                <w:tcPr>
                  <w:tcW w:w="5241" w:type="dxa"/>
                  <w:shd w:val="clear" w:color="auto" w:fill="auto"/>
                </w:tcPr>
                <w:p w14:paraId="433D0FE0" w14:textId="77777777" w:rsidR="00574286" w:rsidRDefault="00000000">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Na</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(Mg, Fe)</w:t>
                  </w:r>
                  <w:r>
                    <w:rPr>
                      <w:rFonts w:ascii="Arial" w:eastAsia="Arial" w:hAnsi="Arial" w:cs="Arial"/>
                      <w:color w:val="000000"/>
                      <w:sz w:val="24"/>
                      <w:szCs w:val="24"/>
                      <w:vertAlign w:val="subscript"/>
                    </w:rPr>
                    <w:t>3</w:t>
                  </w:r>
                  <w:r>
                    <w:rPr>
                      <w:rFonts w:ascii="Arial" w:eastAsia="Arial" w:hAnsi="Arial" w:cs="Arial"/>
                      <w:color w:val="000000"/>
                      <w:sz w:val="24"/>
                      <w:szCs w:val="24"/>
                    </w:rPr>
                    <w:t xml:space="preserve"> Al</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Si</w:t>
                  </w:r>
                  <w:r>
                    <w:rPr>
                      <w:rFonts w:ascii="Arial" w:eastAsia="Arial" w:hAnsi="Arial" w:cs="Arial"/>
                      <w:color w:val="000000"/>
                      <w:sz w:val="24"/>
                      <w:szCs w:val="24"/>
                      <w:vertAlign w:val="subscript"/>
                    </w:rPr>
                    <w:t>8</w:t>
                  </w:r>
                  <w:r>
                    <w:rPr>
                      <w:rFonts w:ascii="Arial" w:eastAsia="Arial" w:hAnsi="Arial" w:cs="Arial"/>
                      <w:color w:val="000000"/>
                      <w:sz w:val="24"/>
                      <w:szCs w:val="24"/>
                    </w:rPr>
                    <w:t xml:space="preserve"> O2</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(OH)</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w:t>
                  </w:r>
                </w:p>
              </w:tc>
            </w:tr>
            <w:tr w:rsidR="00574286" w14:paraId="053D7D05" w14:textId="77777777">
              <w:tc>
                <w:tcPr>
                  <w:tcW w:w="2613" w:type="dxa"/>
                  <w:shd w:val="clear" w:color="auto" w:fill="auto"/>
                </w:tcPr>
                <w:p w14:paraId="6D3128A9" w14:textId="77777777" w:rsidR="0057428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Quartz</w:t>
                  </w:r>
                </w:p>
              </w:tc>
              <w:tc>
                <w:tcPr>
                  <w:tcW w:w="5241" w:type="dxa"/>
                  <w:shd w:val="clear" w:color="auto" w:fill="auto"/>
                </w:tcPr>
                <w:p w14:paraId="11F1D322" w14:textId="77777777" w:rsidR="00574286" w:rsidRDefault="00000000">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SiO</w:t>
                  </w:r>
                  <w:r>
                    <w:rPr>
                      <w:rFonts w:ascii="Arial" w:eastAsia="Arial" w:hAnsi="Arial" w:cs="Arial"/>
                      <w:color w:val="000000"/>
                      <w:sz w:val="24"/>
                      <w:szCs w:val="24"/>
                      <w:vertAlign w:val="subscript"/>
                    </w:rPr>
                    <w:t>2</w:t>
                  </w:r>
                </w:p>
              </w:tc>
            </w:tr>
            <w:tr w:rsidR="00574286" w14:paraId="475CB551" w14:textId="77777777">
              <w:tc>
                <w:tcPr>
                  <w:tcW w:w="2613" w:type="dxa"/>
                  <w:shd w:val="clear" w:color="auto" w:fill="auto"/>
                </w:tcPr>
                <w:p w14:paraId="22F1EF1A" w14:textId="77777777" w:rsidR="0057428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Pyroxène</w:t>
                  </w:r>
                </w:p>
              </w:tc>
              <w:tc>
                <w:tcPr>
                  <w:tcW w:w="5241" w:type="dxa"/>
                  <w:shd w:val="clear" w:color="auto" w:fill="auto"/>
                </w:tcPr>
                <w:p w14:paraId="366E7A75" w14:textId="77777777" w:rsidR="00574286" w:rsidRDefault="00000000">
                  <w:pPr>
                    <w:pStyle w:val="Titre2"/>
                    <w:spacing w:before="0"/>
                    <w:jc w:val="left"/>
                    <w:rPr>
                      <w:rFonts w:ascii="Arial" w:eastAsia="Arial" w:hAnsi="Arial" w:cs="Arial"/>
                      <w:color w:val="000000"/>
                      <w:sz w:val="24"/>
                      <w:szCs w:val="24"/>
                    </w:rPr>
                  </w:pPr>
                  <w:r>
                    <w:rPr>
                      <w:rFonts w:ascii="Arial" w:eastAsia="Arial" w:hAnsi="Arial" w:cs="Arial"/>
                      <w:color w:val="000000"/>
                      <w:sz w:val="24"/>
                      <w:szCs w:val="24"/>
                    </w:rPr>
                    <w:t>(Ca,Na,Mg,Li) (Mg,Fe,Ti,Al) (Si,Al)</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 O</w:t>
                  </w:r>
                  <w:r>
                    <w:rPr>
                      <w:rFonts w:ascii="Arial" w:eastAsia="Arial" w:hAnsi="Arial" w:cs="Arial"/>
                      <w:color w:val="000000"/>
                      <w:sz w:val="24"/>
                      <w:szCs w:val="24"/>
                      <w:vertAlign w:val="subscript"/>
                    </w:rPr>
                    <w:t>6</w:t>
                  </w:r>
                </w:p>
              </w:tc>
            </w:tr>
            <w:tr w:rsidR="00574286" w14:paraId="174993F5" w14:textId="77777777">
              <w:tc>
                <w:tcPr>
                  <w:tcW w:w="2613" w:type="dxa"/>
                  <w:shd w:val="clear" w:color="auto" w:fill="auto"/>
                </w:tcPr>
                <w:p w14:paraId="4AA4C3F6" w14:textId="77777777" w:rsidR="00574286" w:rsidRDefault="00000000">
                  <w:pPr>
                    <w:pBdr>
                      <w:top w:val="nil"/>
                      <w:left w:val="nil"/>
                      <w:bottom w:val="nil"/>
                      <w:right w:val="nil"/>
                      <w:between w:val="nil"/>
                    </w:pBdr>
                    <w:spacing w:after="120"/>
                    <w:rPr>
                      <w:rFonts w:ascii="Arial" w:eastAsia="Arial" w:hAnsi="Arial" w:cs="Arial"/>
                      <w:color w:val="000000"/>
                      <w:sz w:val="24"/>
                      <w:szCs w:val="24"/>
                    </w:rPr>
                  </w:pPr>
                  <w:r>
                    <w:rPr>
                      <w:rFonts w:ascii="Arial" w:eastAsia="Arial" w:hAnsi="Arial" w:cs="Arial"/>
                      <w:color w:val="000000"/>
                      <w:sz w:val="24"/>
                      <w:szCs w:val="24"/>
                    </w:rPr>
                    <w:t>Plagioclase (albite)</w:t>
                  </w:r>
                </w:p>
              </w:tc>
              <w:tc>
                <w:tcPr>
                  <w:tcW w:w="5241" w:type="dxa"/>
                  <w:shd w:val="clear" w:color="auto" w:fill="auto"/>
                </w:tcPr>
                <w:p w14:paraId="2DFE7E8C" w14:textId="77777777" w:rsidR="00574286" w:rsidRDefault="00000000">
                  <w:pPr>
                    <w:pBdr>
                      <w:top w:val="nil"/>
                      <w:left w:val="nil"/>
                      <w:bottom w:val="nil"/>
                      <w:right w:val="nil"/>
                      <w:between w:val="nil"/>
                    </w:pBdr>
                    <w:jc w:val="left"/>
                    <w:rPr>
                      <w:rFonts w:ascii="Arial" w:eastAsia="Arial" w:hAnsi="Arial" w:cs="Arial"/>
                      <w:color w:val="000000"/>
                      <w:sz w:val="24"/>
                      <w:szCs w:val="24"/>
                    </w:rPr>
                  </w:pPr>
                  <w:r>
                    <w:rPr>
                      <w:rFonts w:ascii="Arial" w:eastAsia="Arial" w:hAnsi="Arial" w:cs="Arial"/>
                      <w:color w:val="000000"/>
                      <w:sz w:val="24"/>
                      <w:szCs w:val="24"/>
                    </w:rPr>
                    <w:t>Na Al Si</w:t>
                  </w:r>
                  <w:r>
                    <w:rPr>
                      <w:rFonts w:ascii="Arial" w:eastAsia="Arial" w:hAnsi="Arial" w:cs="Arial"/>
                      <w:color w:val="000000"/>
                      <w:sz w:val="24"/>
                      <w:szCs w:val="24"/>
                      <w:vertAlign w:val="subscript"/>
                    </w:rPr>
                    <w:t>3</w:t>
                  </w:r>
                  <w:r>
                    <w:rPr>
                      <w:rFonts w:ascii="Arial" w:eastAsia="Arial" w:hAnsi="Arial" w:cs="Arial"/>
                      <w:color w:val="000000"/>
                      <w:sz w:val="24"/>
                      <w:szCs w:val="24"/>
                    </w:rPr>
                    <w:t xml:space="preserve"> O</w:t>
                  </w:r>
                  <w:r>
                    <w:rPr>
                      <w:rFonts w:ascii="Arial" w:eastAsia="Arial" w:hAnsi="Arial" w:cs="Arial"/>
                      <w:color w:val="000000"/>
                      <w:sz w:val="24"/>
                      <w:szCs w:val="24"/>
                      <w:vertAlign w:val="subscript"/>
                    </w:rPr>
                    <w:t xml:space="preserve">8 </w:t>
                  </w:r>
                </w:p>
              </w:tc>
            </w:tr>
          </w:tbl>
          <w:p w14:paraId="7CBDE256" w14:textId="77777777" w:rsidR="00574286" w:rsidRDefault="00574286">
            <w:pPr>
              <w:pBdr>
                <w:top w:val="none" w:sz="0" w:space="0" w:color="000000"/>
                <w:left w:val="none" w:sz="0" w:space="0" w:color="000000"/>
                <w:bottom w:val="none" w:sz="0" w:space="0" w:color="000000"/>
                <w:right w:val="none" w:sz="0" w:space="0" w:color="000000"/>
                <w:between w:val="nil"/>
              </w:pBdr>
              <w:shd w:val="clear" w:color="auto" w:fill="FFFFFF"/>
              <w:tabs>
                <w:tab w:val="left" w:pos="10"/>
              </w:tabs>
              <w:jc w:val="left"/>
              <w:rPr>
                <w:rFonts w:ascii="Arial" w:eastAsia="Arial" w:hAnsi="Arial" w:cs="Arial"/>
                <w:b/>
                <w:color w:val="000000"/>
                <w:sz w:val="24"/>
                <w:szCs w:val="24"/>
                <w:u w:val="single"/>
              </w:rPr>
            </w:pPr>
          </w:p>
        </w:tc>
        <w:tc>
          <w:tcPr>
            <w:tcW w:w="7308" w:type="dxa"/>
            <w:vMerge/>
            <w:tcBorders>
              <w:top w:val="single" w:sz="4" w:space="0" w:color="000000"/>
              <w:left w:val="single" w:sz="4" w:space="0" w:color="000000"/>
              <w:bottom w:val="single" w:sz="4" w:space="0" w:color="000000"/>
              <w:right w:val="single" w:sz="4" w:space="0" w:color="000000"/>
            </w:tcBorders>
            <w:shd w:val="clear" w:color="auto" w:fill="auto"/>
          </w:tcPr>
          <w:p w14:paraId="1BA0F042" w14:textId="77777777" w:rsidR="00574286" w:rsidRDefault="00574286">
            <w:pPr>
              <w:widowControl w:val="0"/>
              <w:pBdr>
                <w:top w:val="nil"/>
                <w:left w:val="nil"/>
                <w:bottom w:val="nil"/>
                <w:right w:val="nil"/>
                <w:between w:val="nil"/>
              </w:pBdr>
              <w:spacing w:line="276" w:lineRule="auto"/>
              <w:jc w:val="left"/>
              <w:rPr>
                <w:rFonts w:ascii="Arial" w:eastAsia="Arial" w:hAnsi="Arial" w:cs="Arial"/>
                <w:b/>
                <w:color w:val="000000"/>
                <w:sz w:val="24"/>
                <w:szCs w:val="24"/>
                <w:u w:val="single"/>
              </w:rPr>
            </w:pPr>
          </w:p>
        </w:tc>
      </w:tr>
    </w:tbl>
    <w:p w14:paraId="6400C87E" w14:textId="77777777" w:rsidR="00574286" w:rsidRDefault="00574286">
      <w:pPr>
        <w:jc w:val="right"/>
        <w:rPr>
          <w:rFonts w:ascii="Arial" w:eastAsia="Arial" w:hAnsi="Arial" w:cs="Arial"/>
          <w:strike/>
          <w:sz w:val="24"/>
          <w:szCs w:val="24"/>
        </w:rPr>
      </w:pPr>
    </w:p>
    <w:p w14:paraId="0D188509" w14:textId="77777777" w:rsidR="00574286" w:rsidRDefault="00574286">
      <w:pPr>
        <w:jc w:val="right"/>
        <w:rPr>
          <w:rFonts w:ascii="Arial" w:eastAsia="Arial" w:hAnsi="Arial" w:cs="Arial"/>
          <w:strike/>
          <w:sz w:val="24"/>
          <w:szCs w:val="24"/>
        </w:rPr>
      </w:pPr>
    </w:p>
    <w:p w14:paraId="00B45608" w14:textId="77777777" w:rsidR="00574286" w:rsidRDefault="00000000">
      <w:pPr>
        <w:jc w:val="left"/>
        <w:rPr>
          <w:sz w:val="24"/>
          <w:szCs w:val="24"/>
        </w:rPr>
      </w:pPr>
      <w:r>
        <w:br w:type="page"/>
      </w:r>
    </w:p>
    <w:p w14:paraId="21552762" w14:textId="77777777" w:rsidR="00574286" w:rsidRDefault="00574286">
      <w:pPr>
        <w:jc w:val="both"/>
        <w:rPr>
          <w:rFonts w:ascii="Arial" w:eastAsia="Arial" w:hAnsi="Arial" w:cs="Arial"/>
          <w:b/>
          <w:color w:val="38761D"/>
          <w:sz w:val="24"/>
          <w:szCs w:val="24"/>
          <w:u w:val="single"/>
        </w:rPr>
      </w:pPr>
    </w:p>
    <w:p w14:paraId="5AD4901A" w14:textId="77777777" w:rsidR="00574286" w:rsidRDefault="00574286">
      <w:pPr>
        <w:jc w:val="both"/>
        <w:rPr>
          <w:rFonts w:ascii="Arial" w:eastAsia="Arial" w:hAnsi="Arial" w:cs="Arial"/>
          <w:b/>
          <w:color w:val="38761D"/>
          <w:sz w:val="24"/>
          <w:szCs w:val="24"/>
          <w:u w:val="single"/>
        </w:rPr>
      </w:pPr>
    </w:p>
    <w:p w14:paraId="27A90EF3" w14:textId="77777777" w:rsidR="00574286"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A1 :</w:t>
      </w:r>
    </w:p>
    <w:p w14:paraId="1BAF45D0" w14:textId="77777777" w:rsidR="00574286" w:rsidRDefault="00574286">
      <w:pPr>
        <w:jc w:val="both"/>
        <w:rPr>
          <w:rFonts w:ascii="Arial" w:eastAsia="Arial" w:hAnsi="Arial" w:cs="Arial"/>
          <w:b/>
          <w:color w:val="38761D"/>
          <w:sz w:val="24"/>
          <w:szCs w:val="24"/>
          <w:u w:val="single"/>
        </w:rPr>
      </w:pPr>
    </w:p>
    <w:p w14:paraId="2E16059E" w14:textId="77777777" w:rsidR="00574286" w:rsidRDefault="00000000">
      <w:pPr>
        <w:numPr>
          <w:ilvl w:val="0"/>
          <w:numId w:val="9"/>
        </w:numPr>
        <w:jc w:val="both"/>
        <w:rPr>
          <w:rFonts w:ascii="Arial" w:eastAsia="Arial" w:hAnsi="Arial" w:cs="Arial"/>
          <w:b/>
          <w:color w:val="38761D"/>
          <w:sz w:val="24"/>
          <w:szCs w:val="24"/>
        </w:rPr>
      </w:pPr>
      <w:r>
        <w:rPr>
          <w:rFonts w:ascii="Arial" w:eastAsia="Arial" w:hAnsi="Arial" w:cs="Arial"/>
          <w:b/>
          <w:color w:val="38761D"/>
          <w:sz w:val="24"/>
          <w:szCs w:val="24"/>
          <w:u w:val="single"/>
        </w:rPr>
        <w:t>Ce que je fais :</w:t>
      </w:r>
      <w:r>
        <w:rPr>
          <w:rFonts w:ascii="Arial" w:eastAsia="Arial" w:hAnsi="Arial" w:cs="Arial"/>
          <w:color w:val="38761D"/>
          <w:sz w:val="24"/>
          <w:szCs w:val="24"/>
        </w:rPr>
        <w:t xml:space="preserve"> On veut, par des observations et des calculs, confirmer que les roches du tiers nord-est de la Corse se prêtent à la datation samarium/néodyme et déterminer qu’elles se sont aussi formées au cours de l’orogenèse hercynienne.</w:t>
      </w:r>
    </w:p>
    <w:p w14:paraId="1DE25C10" w14:textId="77777777" w:rsidR="00574286" w:rsidRDefault="00574286">
      <w:pPr>
        <w:jc w:val="both"/>
        <w:rPr>
          <w:rFonts w:ascii="Arial" w:eastAsia="Arial" w:hAnsi="Arial" w:cs="Arial"/>
          <w:b/>
          <w:color w:val="38761D"/>
          <w:sz w:val="24"/>
          <w:szCs w:val="24"/>
          <w:u w:val="single"/>
        </w:rPr>
      </w:pPr>
    </w:p>
    <w:p w14:paraId="0FF2873D" w14:textId="77777777" w:rsidR="00574286" w:rsidRDefault="00000000">
      <w:pPr>
        <w:numPr>
          <w:ilvl w:val="0"/>
          <w:numId w:val="2"/>
        </w:numPr>
        <w:jc w:val="both"/>
        <w:rPr>
          <w:rFonts w:ascii="Arial" w:eastAsia="Arial" w:hAnsi="Arial" w:cs="Arial"/>
          <w:b/>
          <w:color w:val="38761D"/>
          <w:sz w:val="24"/>
          <w:szCs w:val="24"/>
        </w:rPr>
      </w:pPr>
      <w:r>
        <w:rPr>
          <w:rFonts w:ascii="Arial" w:eastAsia="Arial" w:hAnsi="Arial" w:cs="Arial"/>
          <w:b/>
          <w:color w:val="38761D"/>
          <w:sz w:val="24"/>
          <w:szCs w:val="24"/>
          <w:u w:val="single"/>
        </w:rPr>
        <w:t>Comment je le fais :</w:t>
      </w:r>
      <w:r>
        <w:rPr>
          <w:rFonts w:ascii="Arial" w:eastAsia="Arial" w:hAnsi="Arial" w:cs="Arial"/>
          <w:color w:val="38761D"/>
          <w:sz w:val="24"/>
          <w:szCs w:val="24"/>
        </w:rPr>
        <w:t xml:space="preserve"> Pour cela, on va observer une lame mince du tiers nord-est de la Corse au microscope polarisant pour déterminer quels sont les minéraux caractéristiques de cette roche. Puis, on va dater ces roches métamorphiques par la technique samarium/néodyme en utilisant un tableur qui va permettre de déterminer l’âge de la roche.</w:t>
      </w:r>
    </w:p>
    <w:p w14:paraId="663AF631" w14:textId="77777777" w:rsidR="00574286" w:rsidRDefault="00574286">
      <w:pPr>
        <w:jc w:val="both"/>
        <w:rPr>
          <w:rFonts w:ascii="Arial" w:eastAsia="Arial" w:hAnsi="Arial" w:cs="Arial"/>
          <w:b/>
          <w:color w:val="38761D"/>
          <w:sz w:val="24"/>
          <w:szCs w:val="24"/>
          <w:u w:val="single"/>
        </w:rPr>
      </w:pPr>
    </w:p>
    <w:p w14:paraId="7F039721" w14:textId="77777777" w:rsidR="00574286" w:rsidRDefault="00000000">
      <w:pPr>
        <w:numPr>
          <w:ilvl w:val="0"/>
          <w:numId w:val="4"/>
        </w:numPr>
        <w:jc w:val="both"/>
        <w:rPr>
          <w:rFonts w:ascii="Arial" w:eastAsia="Arial" w:hAnsi="Arial" w:cs="Arial"/>
          <w:b/>
          <w:color w:val="38761D"/>
          <w:sz w:val="24"/>
          <w:szCs w:val="24"/>
        </w:rPr>
      </w:pPr>
      <w:r>
        <w:rPr>
          <w:rFonts w:ascii="Arial" w:eastAsia="Arial" w:hAnsi="Arial" w:cs="Arial"/>
          <w:b/>
          <w:color w:val="38761D"/>
          <w:sz w:val="24"/>
          <w:szCs w:val="24"/>
          <w:u w:val="single"/>
        </w:rPr>
        <w:t>Ce que j’attends :</w:t>
      </w:r>
      <w:r>
        <w:rPr>
          <w:rFonts w:ascii="Arial" w:eastAsia="Arial" w:hAnsi="Arial" w:cs="Arial"/>
          <w:color w:val="38761D"/>
          <w:sz w:val="24"/>
          <w:szCs w:val="24"/>
        </w:rPr>
        <w:t xml:space="preserve"> Ainsi, on pense voir que les roches du tiers nord-est de l’île datent vers 626 Ma, période de l’orogenèse cadomienne.</w:t>
      </w:r>
    </w:p>
    <w:p w14:paraId="47C9CB51" w14:textId="77777777" w:rsidR="00574286" w:rsidRDefault="00574286">
      <w:pPr>
        <w:jc w:val="both"/>
        <w:rPr>
          <w:rFonts w:ascii="Arial" w:eastAsia="Arial" w:hAnsi="Arial" w:cs="Arial"/>
          <w:b/>
          <w:color w:val="38761D"/>
          <w:sz w:val="24"/>
          <w:szCs w:val="24"/>
          <w:u w:val="single"/>
        </w:rPr>
      </w:pPr>
    </w:p>
    <w:p w14:paraId="2389C5DC" w14:textId="77777777" w:rsidR="00574286"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 xml:space="preserve">ÉTAPE A2 (manip) : </w:t>
      </w:r>
    </w:p>
    <w:p w14:paraId="77783DD1" w14:textId="77777777" w:rsidR="00574286" w:rsidRDefault="00574286">
      <w:pPr>
        <w:jc w:val="both"/>
        <w:rPr>
          <w:rFonts w:ascii="Arial" w:eastAsia="Arial" w:hAnsi="Arial" w:cs="Arial"/>
          <w:b/>
          <w:color w:val="38761D"/>
          <w:sz w:val="24"/>
          <w:szCs w:val="24"/>
          <w:u w:val="single"/>
        </w:rPr>
      </w:pPr>
    </w:p>
    <w:p w14:paraId="5AE88445" w14:textId="77777777" w:rsidR="00574286" w:rsidRDefault="00000000">
      <w:pPr>
        <w:numPr>
          <w:ilvl w:val="0"/>
          <w:numId w:val="12"/>
        </w:numPr>
        <w:jc w:val="both"/>
        <w:rPr>
          <w:rFonts w:ascii="Arial" w:eastAsia="Arial" w:hAnsi="Arial" w:cs="Arial"/>
          <w:color w:val="38761D"/>
          <w:sz w:val="24"/>
          <w:szCs w:val="24"/>
        </w:rPr>
      </w:pPr>
      <w:r>
        <w:rPr>
          <w:rFonts w:ascii="Arial" w:eastAsia="Arial" w:hAnsi="Arial" w:cs="Arial"/>
          <w:color w:val="38761D"/>
          <w:sz w:val="24"/>
          <w:szCs w:val="24"/>
        </w:rPr>
        <w:t xml:space="preserve">Observation d’une lame mince de roche au microscope polarisant </w:t>
      </w:r>
    </w:p>
    <w:p w14:paraId="252722F6" w14:textId="77777777" w:rsidR="00574286" w:rsidRDefault="00000000">
      <w:pPr>
        <w:numPr>
          <w:ilvl w:val="0"/>
          <w:numId w:val="12"/>
        </w:numPr>
        <w:jc w:val="both"/>
        <w:rPr>
          <w:rFonts w:ascii="Arial" w:eastAsia="Arial" w:hAnsi="Arial" w:cs="Arial"/>
          <w:color w:val="38761D"/>
          <w:sz w:val="24"/>
          <w:szCs w:val="24"/>
        </w:rPr>
      </w:pPr>
      <w:r>
        <w:rPr>
          <w:rFonts w:ascii="Arial" w:eastAsia="Arial" w:hAnsi="Arial" w:cs="Arial"/>
          <w:color w:val="38761D"/>
          <w:sz w:val="24"/>
          <w:szCs w:val="24"/>
        </w:rPr>
        <w:t>Datation samarium/néodyme avec tableur</w:t>
      </w:r>
    </w:p>
    <w:p w14:paraId="6974ED50" w14:textId="77777777" w:rsidR="00574286" w:rsidRDefault="00574286">
      <w:pPr>
        <w:jc w:val="both"/>
        <w:rPr>
          <w:rFonts w:ascii="Arial" w:eastAsia="Arial" w:hAnsi="Arial" w:cs="Arial"/>
          <w:b/>
          <w:color w:val="38761D"/>
          <w:sz w:val="24"/>
          <w:szCs w:val="24"/>
          <w:u w:val="single"/>
        </w:rPr>
      </w:pPr>
    </w:p>
    <w:p w14:paraId="45C10DDF" w14:textId="77777777" w:rsidR="00574286"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 xml:space="preserve">ÉTAPE B1 : </w:t>
      </w:r>
    </w:p>
    <w:p w14:paraId="1A3E0EDD" w14:textId="77777777" w:rsidR="00574286" w:rsidRDefault="00574286">
      <w:pPr>
        <w:jc w:val="both"/>
        <w:rPr>
          <w:rFonts w:ascii="Arial" w:eastAsia="Arial" w:hAnsi="Arial" w:cs="Arial"/>
          <w:b/>
          <w:color w:val="38761D"/>
          <w:sz w:val="24"/>
          <w:szCs w:val="24"/>
          <w:u w:val="single"/>
        </w:rPr>
      </w:pPr>
    </w:p>
    <w:p w14:paraId="59CCE882" w14:textId="77777777" w:rsidR="00574286" w:rsidRDefault="00000000">
      <w:pPr>
        <w:jc w:val="both"/>
        <w:rPr>
          <w:rFonts w:ascii="Arial" w:eastAsia="Arial" w:hAnsi="Arial" w:cs="Arial"/>
          <w:color w:val="38761D"/>
          <w:sz w:val="24"/>
          <w:szCs w:val="24"/>
        </w:rPr>
      </w:pPr>
      <w:r>
        <w:rPr>
          <w:rFonts w:ascii="Arial" w:eastAsia="Arial" w:hAnsi="Arial" w:cs="Arial"/>
          <w:noProof/>
          <w:color w:val="38761D"/>
          <w:sz w:val="24"/>
          <w:szCs w:val="24"/>
        </w:rPr>
        <w:drawing>
          <wp:inline distT="114300" distB="114300" distL="114300" distR="114300" wp14:anchorId="0202D2EE" wp14:editId="4162A444">
            <wp:extent cx="3954315" cy="292734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54315" cy="2927345"/>
                    </a:xfrm>
                    <a:prstGeom prst="rect">
                      <a:avLst/>
                    </a:prstGeom>
                    <a:ln/>
                  </pic:spPr>
                </pic:pic>
              </a:graphicData>
            </a:graphic>
          </wp:inline>
        </w:drawing>
      </w:r>
      <w:r>
        <w:rPr>
          <w:rFonts w:ascii="Arial" w:eastAsia="Arial" w:hAnsi="Arial" w:cs="Arial"/>
          <w:color w:val="38761D"/>
          <w:sz w:val="24"/>
          <w:szCs w:val="24"/>
        </w:rPr>
        <w:t xml:space="preserve"> + dessin d'observation de la lame mince de roche</w:t>
      </w:r>
    </w:p>
    <w:p w14:paraId="2500B438" w14:textId="77777777" w:rsidR="00574286" w:rsidRDefault="00574286">
      <w:pPr>
        <w:jc w:val="both"/>
        <w:rPr>
          <w:rFonts w:ascii="Arial" w:eastAsia="Arial" w:hAnsi="Arial" w:cs="Arial"/>
          <w:color w:val="38761D"/>
          <w:sz w:val="24"/>
          <w:szCs w:val="24"/>
        </w:rPr>
      </w:pPr>
    </w:p>
    <w:p w14:paraId="270E9EE3" w14:textId="77777777" w:rsidR="00574286" w:rsidRDefault="00574286">
      <w:pPr>
        <w:jc w:val="both"/>
        <w:rPr>
          <w:rFonts w:ascii="Arial" w:eastAsia="Arial" w:hAnsi="Arial" w:cs="Arial"/>
          <w:b/>
          <w:color w:val="38761D"/>
          <w:sz w:val="24"/>
          <w:szCs w:val="24"/>
          <w:u w:val="single"/>
        </w:rPr>
      </w:pPr>
    </w:p>
    <w:p w14:paraId="76F23C6F" w14:textId="77777777" w:rsidR="00574286" w:rsidRDefault="00000000">
      <w:pPr>
        <w:jc w:val="both"/>
        <w:rPr>
          <w:rFonts w:ascii="Arial" w:eastAsia="Arial" w:hAnsi="Arial" w:cs="Arial"/>
          <w:b/>
          <w:color w:val="38761D"/>
          <w:sz w:val="24"/>
          <w:szCs w:val="24"/>
          <w:u w:val="single"/>
        </w:rPr>
      </w:pPr>
      <w:r>
        <w:rPr>
          <w:rFonts w:ascii="Arial" w:eastAsia="Arial" w:hAnsi="Arial" w:cs="Arial"/>
          <w:b/>
          <w:color w:val="38761D"/>
          <w:sz w:val="24"/>
          <w:szCs w:val="24"/>
          <w:u w:val="single"/>
        </w:rPr>
        <w:t>ÉTAPE B2 :</w:t>
      </w:r>
    </w:p>
    <w:p w14:paraId="46056396" w14:textId="77777777" w:rsidR="00574286" w:rsidRDefault="00574286">
      <w:pPr>
        <w:jc w:val="both"/>
        <w:rPr>
          <w:rFonts w:ascii="Arial" w:eastAsia="Arial" w:hAnsi="Arial" w:cs="Arial"/>
          <w:b/>
          <w:color w:val="38761D"/>
          <w:sz w:val="24"/>
          <w:szCs w:val="24"/>
          <w:u w:val="single"/>
        </w:rPr>
      </w:pPr>
    </w:p>
    <w:p w14:paraId="57CA55AC" w14:textId="77777777" w:rsidR="00574286" w:rsidRDefault="00000000">
      <w:pPr>
        <w:numPr>
          <w:ilvl w:val="0"/>
          <w:numId w:val="10"/>
        </w:numPr>
        <w:jc w:val="both"/>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On a pu voir, avec l’observation d’une lame mince de roche du tiers nord-est de la Corse, que ces roches sont constituées de minéraux tels que le pyroxène, le grenat et le glaucophane et avec la datation samarium/néodyme, que ces roches datent d’il y a 626 Ma.</w:t>
      </w:r>
    </w:p>
    <w:p w14:paraId="08457BB5" w14:textId="77777777" w:rsidR="00574286" w:rsidRDefault="00574286">
      <w:pPr>
        <w:jc w:val="both"/>
        <w:rPr>
          <w:rFonts w:ascii="Arial" w:eastAsia="Arial" w:hAnsi="Arial" w:cs="Arial"/>
          <w:color w:val="38761D"/>
          <w:sz w:val="24"/>
          <w:szCs w:val="24"/>
        </w:rPr>
      </w:pPr>
    </w:p>
    <w:p w14:paraId="6CA78885" w14:textId="77777777" w:rsidR="00574286" w:rsidRDefault="00000000">
      <w:pPr>
        <w:numPr>
          <w:ilvl w:val="0"/>
          <w:numId w:val="6"/>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On sait que, avec les documents ressources, la méthode de datation samarium est utilisée pour des roches magmatiques et métamorphiques, où certains minéraux, contenant de l’aluminium ou du calcium, durant la formation et la fermeture du système, intègrent du samarium ou du néodyme. Ainsi, on sait que la datation samarium/néodyme est due à la désintégration radioactive de l’isotope 147Sm en 143Nd avec une durée de demi-vie de 1,06x1011 ans, qui va permettre ensuite la mesure de rapports (147Sm/144Nd et 143Nd/144Nd) et la formation d’une droite isochrone de coefficient directeur a. L’âge de la roche étudiée est alors déterminé par la formule t = ln(a+1) / λ avec λ comme constant de désintégration radioactive. On sait aussi, avec les documents ressources, qu’il y a eu 5 principales orogenèses en Europe qui vont de l’orogenèse icartienne (vers -2000 Ma) à l’orogenèse alpine (de -250 Ma à l’actuel) en passant par celle cadomienne (vers -600 Ma) et celle hercynienne (vers -350 Ma) et que le grenat et le pyroxène sont tous les deux composés d’aluminium et de calcium tandis que le glaucophane n’est composé que d’aluminium.</w:t>
      </w:r>
    </w:p>
    <w:p w14:paraId="722D583D" w14:textId="77777777" w:rsidR="00574286" w:rsidRDefault="00574286">
      <w:pPr>
        <w:jc w:val="both"/>
        <w:rPr>
          <w:rFonts w:ascii="Arial" w:eastAsia="Arial" w:hAnsi="Arial" w:cs="Arial"/>
          <w:color w:val="38761D"/>
          <w:sz w:val="24"/>
          <w:szCs w:val="24"/>
        </w:rPr>
      </w:pPr>
    </w:p>
    <w:p w14:paraId="509F1B2A" w14:textId="77777777" w:rsidR="00574286" w:rsidRDefault="00000000">
      <w:pPr>
        <w:numPr>
          <w:ilvl w:val="0"/>
          <w:numId w:val="5"/>
        </w:numPr>
        <w:jc w:val="both"/>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Les roches du tiers nord-est de la Corse se prêtent à la datation samarium/néodyme, car elles sont composées de pyroxène et de grenat qui contiennent de l’aluminium et du calcium et intègrent donc le samarium ou le néodyme durant la fermeture du système. Mais ces roches se sont formées il y a 626 Ma, soit durant l’orogenèse cadomienne, elles se sont donc formées avant celle au sud-ouest de la ligne Calvi-Solenzara qui se sont mises en place durant la période hercynienne.</w:t>
      </w:r>
    </w:p>
    <w:p w14:paraId="02E1EF9B" w14:textId="77777777" w:rsidR="00574286" w:rsidRDefault="00000000">
      <w:pPr>
        <w:ind w:left="720"/>
        <w:jc w:val="both"/>
        <w:rPr>
          <w:rFonts w:ascii="Arial" w:eastAsia="Arial" w:hAnsi="Arial" w:cs="Arial"/>
          <w:color w:val="38761D"/>
          <w:sz w:val="24"/>
          <w:szCs w:val="24"/>
        </w:rPr>
      </w:pPr>
      <w:r>
        <w:rPr>
          <w:rFonts w:ascii="Arial" w:eastAsia="Arial" w:hAnsi="Arial" w:cs="Arial"/>
          <w:color w:val="38761D"/>
          <w:sz w:val="24"/>
          <w:szCs w:val="24"/>
        </w:rPr>
        <w:t xml:space="preserve"> </w:t>
      </w:r>
    </w:p>
    <w:p w14:paraId="30B1BC84" w14:textId="77777777" w:rsidR="00574286" w:rsidRDefault="00000000">
      <w:pPr>
        <w:numPr>
          <w:ilvl w:val="0"/>
          <w:numId w:val="7"/>
        </w:numPr>
        <w:jc w:val="both"/>
        <w:rPr>
          <w:rFonts w:ascii="Arial" w:eastAsia="Arial" w:hAnsi="Arial" w:cs="Arial"/>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On pourrait réaliser cette étude sur certaines roches du Massif armoricain, où il existe des traces de l’orogenèse cadomienne.</w:t>
      </w:r>
    </w:p>
    <w:p w14:paraId="2D99D811" w14:textId="77777777" w:rsidR="00574286" w:rsidRDefault="00574286">
      <w:pPr>
        <w:ind w:left="720"/>
        <w:jc w:val="both"/>
        <w:rPr>
          <w:rFonts w:ascii="Arial" w:eastAsia="Arial" w:hAnsi="Arial" w:cs="Arial"/>
          <w:b/>
          <w:color w:val="38761D"/>
          <w:sz w:val="24"/>
          <w:szCs w:val="24"/>
          <w:u w:val="single"/>
        </w:rPr>
      </w:pPr>
    </w:p>
    <w:sectPr w:rsidR="00574286">
      <w:headerReference w:type="even" r:id="rId9"/>
      <w:headerReference w:type="default" r:id="rId10"/>
      <w:footerReference w:type="default" r:id="rId11"/>
      <w:headerReference w:type="first" r:id="rId12"/>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06D3AB" w14:textId="77777777" w:rsidR="00974C7E" w:rsidRDefault="00974C7E">
      <w:r>
        <w:separator/>
      </w:r>
    </w:p>
  </w:endnote>
  <w:endnote w:type="continuationSeparator" w:id="0">
    <w:p w14:paraId="7FFCC94A" w14:textId="77777777" w:rsidR="00974C7E" w:rsidRDefault="00974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CC8D50F-E7DF-46C6-BDE5-BCD374EDA092}"/>
  </w:font>
  <w:font w:name="Calibri">
    <w:panose1 w:val="020F0502020204030204"/>
    <w:charset w:val="00"/>
    <w:family w:val="swiss"/>
    <w:pitch w:val="variable"/>
    <w:sig w:usb0="E4002EFF" w:usb1="C200247B" w:usb2="00000009" w:usb3="00000000" w:csb0="000001FF" w:csb1="00000000"/>
    <w:embedRegular r:id="rId2" w:fontKey="{66C9EB22-B02D-43F0-9338-DD547B8F14C6}"/>
    <w:embedBold r:id="rId3" w:fontKey="{E66C284E-9145-4E3F-9213-3841016364F6}"/>
    <w:embedItalic r:id="rId4" w:fontKey="{EFEEE5A2-2BA6-4C76-9B93-1A665B1214BB}"/>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E69664A-7566-4108-8AB7-F32755A424F2}"/>
  </w:font>
  <w:font w:name="Cambria">
    <w:panose1 w:val="02040503050406030204"/>
    <w:charset w:val="00"/>
    <w:family w:val="roman"/>
    <w:pitch w:val="variable"/>
    <w:sig w:usb0="E00006FF" w:usb1="420024FF" w:usb2="02000000" w:usb3="00000000" w:csb0="0000019F" w:csb1="00000000"/>
    <w:embedRegular r:id="rId6" w:fontKey="{119FCB5E-A3D4-4385-B4F4-B433578E918F}"/>
    <w:embedItalic r:id="rId7" w:fontKey="{D82DB21C-4A9F-45FD-B149-CAB4D80A1D78}"/>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8" w:fontKey="{1B787B88-F5B9-4274-A718-8AAB82B3164E}"/>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9" w:fontKey="{9A17B9DE-2BD7-4EAA-A545-AB65FF0EF586}"/>
  </w:font>
  <w:font w:name="Mangal">
    <w:panose1 w:val="00000400000000000000"/>
    <w:charset w:val="00"/>
    <w:family w:val="roman"/>
    <w:pitch w:val="variable"/>
    <w:sig w:usb0="00008003" w:usb1="00000000" w:usb2="00000000" w:usb3="00000000" w:csb0="00000001" w:csb1="00000000"/>
    <w:embedRegular r:id="rId10" w:fontKey="{881207F9-CA87-4E42-9E45-67A14B6360D6}"/>
    <w:embedItalic r:id="rId11" w:fontKey="{3B49277C-BD1C-49ED-8A30-D012866E8673}"/>
  </w:font>
  <w:font w:name="Free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A6A52" w14:textId="4F77D9CF" w:rsidR="00574286" w:rsidRDefault="00574286">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2EACBB" w14:textId="77777777" w:rsidR="00974C7E" w:rsidRDefault="00974C7E">
      <w:r>
        <w:separator/>
      </w:r>
    </w:p>
  </w:footnote>
  <w:footnote w:type="continuationSeparator" w:id="0">
    <w:p w14:paraId="6AD022D8" w14:textId="77777777" w:rsidR="00974C7E" w:rsidRDefault="00974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9846F" w14:textId="77777777" w:rsidR="00574286" w:rsidRDefault="00574286">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0D850" w14:textId="77777777" w:rsidR="00574286" w:rsidRDefault="00000000">
    <w:pPr>
      <w:pBdr>
        <w:top w:val="nil"/>
        <w:left w:val="nil"/>
        <w:bottom w:val="nil"/>
        <w:right w:val="nil"/>
        <w:between w:val="nil"/>
      </w:pBdr>
      <w:shd w:val="clear" w:color="auto" w:fill="FFFFFF"/>
      <w:tabs>
        <w:tab w:val="left" w:pos="2025"/>
        <w:tab w:val="center" w:pos="7699"/>
      </w:tabs>
      <w:jc w:val="left"/>
      <w:rPr>
        <w:color w:val="000000"/>
      </w:rPr>
    </w:pPr>
    <w:r>
      <w:rPr>
        <w:rFonts w:ascii="Arial" w:eastAsia="Arial" w:hAnsi="Arial" w:cs="Arial"/>
        <w:b/>
        <w:color w:val="000000"/>
        <w:sz w:val="24"/>
        <w:szCs w:val="24"/>
        <w:highlight w:val="white"/>
      </w:rPr>
      <w:tab/>
    </w:r>
    <w:r>
      <w:rPr>
        <w:rFonts w:ascii="Arial" w:eastAsia="Arial" w:hAnsi="Arial" w:cs="Arial"/>
        <w:b/>
        <w:color w:val="000000"/>
        <w:sz w:val="24"/>
        <w:szCs w:val="24"/>
        <w:highlight w:val="white"/>
      </w:rPr>
      <w:tab/>
      <w:t>La géologie de la Corse</w:t>
    </w:r>
    <w:r>
      <w:rPr>
        <w:noProof/>
      </w:rPr>
      <w:drawing>
        <wp:anchor distT="114300" distB="114300" distL="114300" distR="114300" simplePos="0" relativeHeight="251658240" behindDoc="0" locked="0" layoutInCell="1" hidden="0" allowOverlap="1" wp14:anchorId="39D34117" wp14:editId="7874D8EF">
          <wp:simplePos x="0" y="0"/>
          <wp:positionH relativeFrom="column">
            <wp:posOffset>-66674</wp:posOffset>
          </wp:positionH>
          <wp:positionV relativeFrom="paragraph">
            <wp:posOffset>-219074</wp:posOffset>
          </wp:positionV>
          <wp:extent cx="2032000" cy="5842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24487" w14:textId="77777777" w:rsidR="00574286" w:rsidRDefault="00574286">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56BD"/>
    <w:multiLevelType w:val="multilevel"/>
    <w:tmpl w:val="D0D8A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70207"/>
    <w:multiLevelType w:val="multilevel"/>
    <w:tmpl w:val="E39EC3F6"/>
    <w:lvl w:ilvl="0">
      <w:start w:val="1"/>
      <w:numFmt w:val="bullet"/>
      <w:lvlText w:val="-"/>
      <w:lvlJc w:val="left"/>
      <w:pPr>
        <w:ind w:left="360" w:hanging="360"/>
      </w:pPr>
      <w:rPr>
        <w:rFonts w:ascii="Noto Sans Symbols" w:eastAsia="Noto Sans Symbols" w:hAnsi="Noto Sans Symbols" w:cs="Noto Sans Symbols"/>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AF8338B"/>
    <w:multiLevelType w:val="multilevel"/>
    <w:tmpl w:val="25524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FB59D8"/>
    <w:multiLevelType w:val="multilevel"/>
    <w:tmpl w:val="DA14DA00"/>
    <w:lvl w:ilvl="0">
      <w:start w:val="1"/>
      <w:numFmt w:val="bullet"/>
      <w:lvlText w:val="-"/>
      <w:lvlJc w:val="left"/>
      <w:pPr>
        <w:ind w:left="754" w:hanging="359"/>
      </w:pPr>
      <w:rPr>
        <w:rFonts w:ascii="Calibri" w:eastAsia="Calibri" w:hAnsi="Calibri" w:cs="Calibri"/>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DC420B9"/>
    <w:multiLevelType w:val="multilevel"/>
    <w:tmpl w:val="23F26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4A23AA"/>
    <w:multiLevelType w:val="multilevel"/>
    <w:tmpl w:val="B59CD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874016"/>
    <w:multiLevelType w:val="multilevel"/>
    <w:tmpl w:val="76984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EB6503"/>
    <w:multiLevelType w:val="multilevel"/>
    <w:tmpl w:val="DE5AD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3F1489"/>
    <w:multiLevelType w:val="multilevel"/>
    <w:tmpl w:val="0D6E78D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4"/>
        <w:szCs w:val="24"/>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Titre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sz w:val="24"/>
        <w:szCs w:val="24"/>
      </w:rPr>
    </w:lvl>
    <w:lvl w:ilvl="6">
      <w:start w:val="1"/>
      <w:numFmt w:val="bullet"/>
      <w:pStyle w:val="Titre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Titre9"/>
      <w:lvlText w:val="▪"/>
      <w:lvlJc w:val="left"/>
      <w:pPr>
        <w:ind w:left="6480" w:hanging="360"/>
      </w:pPr>
      <w:rPr>
        <w:rFonts w:ascii="Noto Sans Symbols" w:eastAsia="Noto Sans Symbols" w:hAnsi="Noto Sans Symbols" w:cs="Noto Sans Symbols"/>
        <w:sz w:val="24"/>
        <w:szCs w:val="24"/>
      </w:rPr>
    </w:lvl>
  </w:abstractNum>
  <w:abstractNum w:abstractNumId="9" w15:restartNumberingAfterBreak="0">
    <w:nsid w:val="75ED6547"/>
    <w:multiLevelType w:val="multilevel"/>
    <w:tmpl w:val="5C64E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E61937"/>
    <w:multiLevelType w:val="multilevel"/>
    <w:tmpl w:val="13B2E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B25F7E"/>
    <w:multiLevelType w:val="multilevel"/>
    <w:tmpl w:val="6C4E5940"/>
    <w:lvl w:ilvl="0">
      <w:start w:val="1"/>
      <w:numFmt w:val="bullet"/>
      <w:lvlText w:val="-"/>
      <w:lvlJc w:val="left"/>
      <w:pPr>
        <w:ind w:left="891" w:hanging="360"/>
      </w:pPr>
      <w:rPr>
        <w:rFonts w:ascii="Calibri" w:eastAsia="Calibri" w:hAnsi="Calibri" w:cs="Calibri"/>
        <w:sz w:val="24"/>
        <w:szCs w:val="24"/>
      </w:rPr>
    </w:lvl>
    <w:lvl w:ilvl="1">
      <w:start w:val="1"/>
      <w:numFmt w:val="bullet"/>
      <w:lvlText w:val="o"/>
      <w:lvlJc w:val="left"/>
      <w:pPr>
        <w:ind w:left="1611" w:hanging="360"/>
      </w:pPr>
      <w:rPr>
        <w:rFonts w:ascii="Courier New" w:eastAsia="Courier New" w:hAnsi="Courier New" w:cs="Courier New"/>
      </w:rPr>
    </w:lvl>
    <w:lvl w:ilvl="2">
      <w:start w:val="1"/>
      <w:numFmt w:val="bullet"/>
      <w:lvlText w:val="▪"/>
      <w:lvlJc w:val="left"/>
      <w:pPr>
        <w:ind w:left="2331" w:hanging="360"/>
      </w:pPr>
      <w:rPr>
        <w:rFonts w:ascii="Noto Sans Symbols" w:eastAsia="Noto Sans Symbols" w:hAnsi="Noto Sans Symbols" w:cs="Noto Sans Symbols"/>
      </w:rPr>
    </w:lvl>
    <w:lvl w:ilvl="3">
      <w:start w:val="1"/>
      <w:numFmt w:val="bullet"/>
      <w:lvlText w:val="●"/>
      <w:lvlJc w:val="left"/>
      <w:pPr>
        <w:ind w:left="3051" w:hanging="360"/>
      </w:pPr>
      <w:rPr>
        <w:rFonts w:ascii="Noto Sans Symbols" w:eastAsia="Noto Sans Symbols" w:hAnsi="Noto Sans Symbols" w:cs="Noto Sans Symbols"/>
      </w:rPr>
    </w:lvl>
    <w:lvl w:ilvl="4">
      <w:start w:val="1"/>
      <w:numFmt w:val="bullet"/>
      <w:lvlText w:val="o"/>
      <w:lvlJc w:val="left"/>
      <w:pPr>
        <w:ind w:left="3771" w:hanging="360"/>
      </w:pPr>
      <w:rPr>
        <w:rFonts w:ascii="Courier New" w:eastAsia="Courier New" w:hAnsi="Courier New" w:cs="Courier New"/>
      </w:rPr>
    </w:lvl>
    <w:lvl w:ilvl="5">
      <w:start w:val="1"/>
      <w:numFmt w:val="bullet"/>
      <w:lvlText w:val="▪"/>
      <w:lvlJc w:val="left"/>
      <w:pPr>
        <w:ind w:left="4491" w:hanging="360"/>
      </w:pPr>
      <w:rPr>
        <w:rFonts w:ascii="Noto Sans Symbols" w:eastAsia="Noto Sans Symbols" w:hAnsi="Noto Sans Symbols" w:cs="Noto Sans Symbols"/>
      </w:rPr>
    </w:lvl>
    <w:lvl w:ilvl="6">
      <w:start w:val="1"/>
      <w:numFmt w:val="bullet"/>
      <w:lvlText w:val="●"/>
      <w:lvlJc w:val="left"/>
      <w:pPr>
        <w:ind w:left="5211" w:hanging="360"/>
      </w:pPr>
      <w:rPr>
        <w:rFonts w:ascii="Noto Sans Symbols" w:eastAsia="Noto Sans Symbols" w:hAnsi="Noto Sans Symbols" w:cs="Noto Sans Symbols"/>
      </w:rPr>
    </w:lvl>
    <w:lvl w:ilvl="7">
      <w:start w:val="1"/>
      <w:numFmt w:val="bullet"/>
      <w:lvlText w:val="o"/>
      <w:lvlJc w:val="left"/>
      <w:pPr>
        <w:ind w:left="5931" w:hanging="360"/>
      </w:pPr>
      <w:rPr>
        <w:rFonts w:ascii="Courier New" w:eastAsia="Courier New" w:hAnsi="Courier New" w:cs="Courier New"/>
      </w:rPr>
    </w:lvl>
    <w:lvl w:ilvl="8">
      <w:start w:val="1"/>
      <w:numFmt w:val="bullet"/>
      <w:lvlText w:val="▪"/>
      <w:lvlJc w:val="left"/>
      <w:pPr>
        <w:ind w:left="6651" w:hanging="360"/>
      </w:pPr>
      <w:rPr>
        <w:rFonts w:ascii="Noto Sans Symbols" w:eastAsia="Noto Sans Symbols" w:hAnsi="Noto Sans Symbols" w:cs="Noto Sans Symbols"/>
      </w:rPr>
    </w:lvl>
  </w:abstractNum>
  <w:num w:numId="1" w16cid:durableId="1834641827">
    <w:abstractNumId w:val="8"/>
  </w:num>
  <w:num w:numId="2" w16cid:durableId="1787196740">
    <w:abstractNumId w:val="9"/>
  </w:num>
  <w:num w:numId="3" w16cid:durableId="287905801">
    <w:abstractNumId w:val="11"/>
  </w:num>
  <w:num w:numId="4" w16cid:durableId="1942449289">
    <w:abstractNumId w:val="7"/>
  </w:num>
  <w:num w:numId="5" w16cid:durableId="849759762">
    <w:abstractNumId w:val="10"/>
  </w:num>
  <w:num w:numId="6" w16cid:durableId="2020084693">
    <w:abstractNumId w:val="4"/>
  </w:num>
  <w:num w:numId="7" w16cid:durableId="689988410">
    <w:abstractNumId w:val="0"/>
  </w:num>
  <w:num w:numId="8" w16cid:durableId="1059481435">
    <w:abstractNumId w:val="3"/>
  </w:num>
  <w:num w:numId="9" w16cid:durableId="1075976463">
    <w:abstractNumId w:val="6"/>
  </w:num>
  <w:num w:numId="10" w16cid:durableId="374933362">
    <w:abstractNumId w:val="2"/>
  </w:num>
  <w:num w:numId="11" w16cid:durableId="1016269480">
    <w:abstractNumId w:val="1"/>
  </w:num>
  <w:num w:numId="12" w16cid:durableId="6502133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286"/>
    <w:rsid w:val="00360B10"/>
    <w:rsid w:val="00534B81"/>
    <w:rsid w:val="00574286"/>
    <w:rsid w:val="00974C7E"/>
    <w:rsid w:val="00C07ED5"/>
    <w:rsid w:val="00E17602"/>
    <w:rsid w:val="00EE71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7C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link w:val="Titre2Car"/>
    <w:uiPriority w:val="9"/>
    <w:unhideWhenUsed/>
    <w:qFormat/>
    <w:rsid w:val="000068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pPr>
      <w:suppressAutoHyphens/>
    </w:pPr>
    <w:rPr>
      <w:lang w:eastAsia="zh-CN"/>
    </w:rPr>
  </w:style>
  <w:style w:type="paragraph" w:customStyle="1" w:styleId="WW-Standard">
    <w:name w:val="WW-Standard"/>
    <w:pPr>
      <w:widowControl w:val="0"/>
      <w:suppressAutoHyphens/>
    </w:pPr>
    <w:rPr>
      <w:kern w:val="1"/>
      <w:sz w:val="24"/>
      <w:szCs w:val="24"/>
      <w:lang w:val="de-DE" w:eastAsia="zh-CN"/>
    </w:rPr>
  </w:style>
  <w:style w:type="paragraph" w:styleId="En-tte">
    <w:name w:val="header"/>
    <w:basedOn w:val="Normal"/>
  </w:style>
  <w:style w:type="paragraph" w:styleId="Pieddepage">
    <w:name w:val="footer"/>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lang w:val="x-none"/>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character" w:customStyle="1" w:styleId="Titre2Car">
    <w:name w:val="Titre 2 Car"/>
    <w:basedOn w:val="Policepardfaut"/>
    <w:link w:val="Titre2"/>
    <w:uiPriority w:val="9"/>
    <w:semiHidden/>
    <w:rsid w:val="000068A7"/>
    <w:rPr>
      <w:rFonts w:asciiTheme="majorHAnsi" w:eastAsiaTheme="majorEastAsia" w:hAnsiTheme="majorHAnsi" w:cstheme="majorBidi"/>
      <w:color w:val="2F5496" w:themeColor="accent1" w:themeShade="BF"/>
      <w:sz w:val="26"/>
      <w:szCs w:val="26"/>
      <w:lang w:eastAsia="zh-CN"/>
    </w:rPr>
  </w:style>
  <w:style w:type="character" w:customStyle="1" w:styleId="ListLabel27">
    <w:name w:val="ListLabel 27"/>
    <w:rsid w:val="00907741"/>
    <w:rPr>
      <w:rFonts w:eastAsia="Courier New" w:cs="Courier New"/>
    </w:rPr>
  </w:style>
  <w:style w:type="paragraph" w:customStyle="1" w:styleId="Paragraphedeliste1">
    <w:name w:val="Paragraphe de liste1"/>
    <w:basedOn w:val="Normal"/>
    <w:rsid w:val="00907741"/>
    <w:pPr>
      <w:spacing w:after="160" w:line="252" w:lineRule="auto"/>
      <w:ind w:left="720"/>
      <w:contextualSpacing/>
      <w:jc w:val="left"/>
    </w:pPr>
    <w:rPr>
      <w:rFonts w:cs="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UaNp1te+/88JplheS8tnUMvSQ==">CgMxLjA4AHIhMXMzd2U2R2RQZExZRzE4OFJRSXBWdW1ZanlsZU5rSnA5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1054</Words>
  <Characters>5802</Characters>
  <Application>Microsoft Office Word</Application>
  <DocSecurity>0</DocSecurity>
  <Lines>48</Lines>
  <Paragraphs>13</Paragraphs>
  <ScaleCrop>false</ScaleCrop>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2024-05-31T12:14:00Z</dcterms:created>
  <dcterms:modified xsi:type="dcterms:W3CDTF">2024-05-31T12:14:00Z</dcterms:modified>
</cp:coreProperties>
</file>