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1EE7D49" w14:textId="77777777" w:rsidR="00CF402D" w:rsidRDefault="00000000">
      <w:pPr>
        <w:ind w:left="5664" w:firstLine="707"/>
        <w:jc w:val="right"/>
      </w:pPr>
      <w:r>
        <w:rPr>
          <w:rFonts w:ascii="Arial" w:eastAsia="Arial" w:hAnsi="Arial" w:cs="Arial"/>
        </w:rPr>
        <w:t>Fiche sujet – candidat (1/3)</w:t>
      </w:r>
    </w:p>
    <w:tbl>
      <w:tblPr>
        <w:tblStyle w:val="a"/>
        <w:tblW w:w="15456" w:type="dxa"/>
        <w:tblInd w:w="-10" w:type="dxa"/>
        <w:tblLayout w:type="fixed"/>
        <w:tblLook w:val="0000" w:firstRow="0" w:lastRow="0" w:firstColumn="0" w:lastColumn="0" w:noHBand="0" w:noVBand="0"/>
      </w:tblPr>
      <w:tblGrid>
        <w:gridCol w:w="15456"/>
      </w:tblGrid>
      <w:tr w:rsidR="00CF402D" w14:paraId="4FFFD33D" w14:textId="77777777">
        <w:trPr>
          <w:trHeight w:val="20"/>
        </w:trPr>
        <w:tc>
          <w:tcPr>
            <w:tcW w:w="15456" w:type="dxa"/>
            <w:tcBorders>
              <w:top w:val="single" w:sz="4" w:space="0" w:color="000000"/>
              <w:left w:val="single" w:sz="4" w:space="0" w:color="000000"/>
              <w:bottom w:val="single" w:sz="4" w:space="0" w:color="000000"/>
              <w:right w:val="single" w:sz="4" w:space="0" w:color="000000"/>
            </w:tcBorders>
            <w:shd w:val="clear" w:color="auto" w:fill="D9D9D9"/>
          </w:tcPr>
          <w:p w14:paraId="354916E3" w14:textId="77777777" w:rsidR="00CF402D" w:rsidRDefault="00000000">
            <w:pPr>
              <w:widowControl w:val="0"/>
              <w:spacing w:before="120" w:after="120"/>
              <w:jc w:val="center"/>
            </w:pPr>
            <w:r>
              <w:rPr>
                <w:rFonts w:ascii="Arial" w:eastAsia="Arial" w:hAnsi="Arial" w:cs="Arial"/>
                <w:b/>
              </w:rPr>
              <w:t>Contexte</w:t>
            </w:r>
          </w:p>
        </w:tc>
      </w:tr>
      <w:tr w:rsidR="00CF402D" w14:paraId="35F28D06" w14:textId="77777777">
        <w:trPr>
          <w:trHeight w:val="20"/>
        </w:trPr>
        <w:tc>
          <w:tcPr>
            <w:tcW w:w="15456" w:type="dxa"/>
            <w:tcBorders>
              <w:top w:val="single" w:sz="4" w:space="0" w:color="000000"/>
              <w:left w:val="single" w:sz="4" w:space="0" w:color="000000"/>
              <w:bottom w:val="single" w:sz="4" w:space="0" w:color="000000"/>
              <w:right w:val="single" w:sz="4" w:space="0" w:color="000000"/>
            </w:tcBorders>
            <w:shd w:val="clear" w:color="auto" w:fill="auto"/>
          </w:tcPr>
          <w:p w14:paraId="2457B4A9" w14:textId="77777777" w:rsidR="00CF402D" w:rsidRDefault="00000000">
            <w:pPr>
              <w:widowControl w:val="0"/>
              <w:spacing w:before="120" w:after="120"/>
              <w:rPr>
                <w:rFonts w:ascii="Arial" w:eastAsia="Arial" w:hAnsi="Arial" w:cs="Arial"/>
                <w:color w:val="000000"/>
              </w:rPr>
            </w:pPr>
            <w:r>
              <w:rPr>
                <w:rFonts w:ascii="Arial" w:eastAsia="Arial" w:hAnsi="Arial" w:cs="Arial"/>
                <w:color w:val="000000"/>
              </w:rPr>
              <w:t xml:space="preserve">Le stress chronique peut entraîner l’apparition de symptômes d’anxiété dus à une augmentation de l’activité électrique des neurones de certaines zones cérébrales. Normalement, l’activité de ces neurones est régulée par le GABA, un neurotransmetteur qui se fixe sur des récepteurs localisés sur les corps cellulaires et les prolongements des neurones dont il inhibe le fonctionnement. Les médicaments de la famille des benzodiazépines (par exemple le diazépam) contribuent à diminuer les symptômes d’anxiété. </w:t>
            </w:r>
          </w:p>
          <w:p w14:paraId="53BA87A4" w14:textId="77777777" w:rsidR="00CF402D" w:rsidRDefault="00000000">
            <w:pPr>
              <w:widowControl w:val="0"/>
              <w:spacing w:before="120" w:after="120"/>
              <w:rPr>
                <w:sz w:val="10"/>
                <w:szCs w:val="10"/>
              </w:rPr>
            </w:pPr>
            <w:r>
              <w:rPr>
                <w:rFonts w:ascii="Arial" w:eastAsia="Arial" w:hAnsi="Arial" w:cs="Arial"/>
                <w:b/>
              </w:rPr>
              <w:t>On cherche à déterminer comment le diazépam participe à la diminution des symptômes d’anxiété liés au stress chronique.</w:t>
            </w:r>
          </w:p>
        </w:tc>
      </w:tr>
    </w:tbl>
    <w:p w14:paraId="3518EEFB" w14:textId="77777777" w:rsidR="00CF402D" w:rsidRDefault="00CF402D">
      <w:pPr>
        <w:jc w:val="right"/>
        <w:rPr>
          <w:rFonts w:ascii="Arial" w:eastAsia="Arial" w:hAnsi="Arial" w:cs="Arial"/>
        </w:rPr>
      </w:pPr>
    </w:p>
    <w:tbl>
      <w:tblPr>
        <w:tblStyle w:val="a0"/>
        <w:tblW w:w="154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CF402D" w14:paraId="21285574" w14:textId="77777777">
        <w:tc>
          <w:tcPr>
            <w:tcW w:w="15446" w:type="dxa"/>
            <w:shd w:val="clear" w:color="auto" w:fill="D9D9D9"/>
          </w:tcPr>
          <w:p w14:paraId="1894D7D2" w14:textId="77777777" w:rsidR="00CF402D" w:rsidRDefault="00000000">
            <w:pPr>
              <w:widowControl w:val="0"/>
              <w:spacing w:before="120" w:after="120"/>
              <w:jc w:val="center"/>
              <w:rPr>
                <w:rFonts w:ascii="Arial" w:eastAsia="Arial" w:hAnsi="Arial" w:cs="Arial"/>
              </w:rPr>
            </w:pPr>
            <w:r>
              <w:rPr>
                <w:rFonts w:ascii="Arial" w:eastAsia="Arial" w:hAnsi="Arial" w:cs="Arial"/>
                <w:b/>
              </w:rPr>
              <w:t>Consignes</w:t>
            </w:r>
          </w:p>
        </w:tc>
      </w:tr>
      <w:tr w:rsidR="00CF402D" w14:paraId="28D7E356" w14:textId="77777777">
        <w:tc>
          <w:tcPr>
            <w:tcW w:w="15446" w:type="dxa"/>
            <w:shd w:val="clear" w:color="auto" w:fill="F2F2F2"/>
          </w:tcPr>
          <w:p w14:paraId="23630587" w14:textId="77777777" w:rsidR="00CF402D" w:rsidRDefault="00000000">
            <w:pPr>
              <w:widowControl w:val="0"/>
              <w:spacing w:before="120" w:after="120"/>
              <w:rPr>
                <w:rFonts w:ascii="Arial" w:eastAsia="Arial" w:hAnsi="Arial" w:cs="Arial"/>
              </w:rPr>
            </w:pPr>
            <w:r>
              <w:rPr>
                <w:rFonts w:ascii="Arial" w:eastAsia="Arial" w:hAnsi="Arial" w:cs="Arial"/>
                <w:b/>
              </w:rPr>
              <w:t>Partie A : Appropriation du contexte et activité pratique (durée recommandée : 30 minutes)</w:t>
            </w:r>
          </w:p>
        </w:tc>
      </w:tr>
      <w:tr w:rsidR="00CF402D" w14:paraId="6F20A231" w14:textId="77777777">
        <w:tc>
          <w:tcPr>
            <w:tcW w:w="15446" w:type="dxa"/>
          </w:tcPr>
          <w:p w14:paraId="7D39252B" w14:textId="77777777" w:rsidR="00CF402D" w:rsidRDefault="00000000">
            <w:pPr>
              <w:widowControl w:val="0"/>
              <w:spacing w:before="120" w:after="120"/>
              <w:rPr>
                <w:rFonts w:ascii="Arial" w:eastAsia="Arial" w:hAnsi="Arial" w:cs="Arial"/>
              </w:rPr>
            </w:pPr>
            <w:r>
              <w:rPr>
                <w:rFonts w:ascii="Arial" w:eastAsia="Arial" w:hAnsi="Arial" w:cs="Arial"/>
                <w:b/>
              </w:rPr>
              <w:t xml:space="preserve">La stratégie adoptée consiste à repérer </w:t>
            </w:r>
            <w:r>
              <w:rPr>
                <w:rFonts w:ascii="Arial" w:eastAsia="Arial" w:hAnsi="Arial" w:cs="Arial"/>
              </w:rPr>
              <w:t>les corps cellulaires</w:t>
            </w:r>
            <w:r>
              <w:rPr>
                <w:rFonts w:ascii="Arial" w:eastAsia="Arial" w:hAnsi="Arial" w:cs="Arial"/>
                <w:b/>
              </w:rPr>
              <w:t xml:space="preserve"> </w:t>
            </w:r>
            <w:r>
              <w:rPr>
                <w:rFonts w:ascii="Arial" w:eastAsia="Arial" w:hAnsi="Arial" w:cs="Arial"/>
              </w:rPr>
              <w:t xml:space="preserve">des neurones cérébraux afin de </w:t>
            </w:r>
            <w:r>
              <w:rPr>
                <w:rFonts w:ascii="Arial" w:eastAsia="Arial" w:hAnsi="Arial" w:cs="Arial"/>
                <w:b/>
              </w:rPr>
              <w:t>localiser</w:t>
            </w:r>
            <w:r>
              <w:rPr>
                <w:rFonts w:ascii="Arial" w:eastAsia="Arial" w:hAnsi="Arial" w:cs="Arial"/>
              </w:rPr>
              <w:t xml:space="preserve"> l’emplacement probable des récepteurs GABA et</w:t>
            </w:r>
            <w:r>
              <w:rPr>
                <w:rFonts w:ascii="Arial" w:eastAsia="Arial" w:hAnsi="Arial" w:cs="Arial"/>
                <w:b/>
              </w:rPr>
              <w:t xml:space="preserve"> à traiter </w:t>
            </w:r>
            <w:r>
              <w:rPr>
                <w:rFonts w:ascii="Arial" w:eastAsia="Arial" w:hAnsi="Arial" w:cs="Arial"/>
              </w:rPr>
              <w:t>un modèle moléculaire de ce récepteur en présence de diazépam.</w:t>
            </w:r>
          </w:p>
          <w:p w14:paraId="1453D50A" w14:textId="77777777" w:rsidR="00CF402D" w:rsidRDefault="00000000">
            <w:pPr>
              <w:widowControl w:val="0"/>
              <w:spacing w:before="120" w:after="120"/>
              <w:jc w:val="center"/>
              <w:rPr>
                <w:rFonts w:ascii="Arial" w:eastAsia="Arial" w:hAnsi="Arial" w:cs="Arial"/>
                <w:i/>
              </w:rPr>
            </w:pPr>
            <w:r>
              <w:rPr>
                <w:rFonts w:ascii="Arial" w:eastAsia="Arial" w:hAnsi="Arial" w:cs="Arial"/>
                <w:b/>
                <w:i/>
              </w:rPr>
              <w:t xml:space="preserve">Appeler l’examinateur </w:t>
            </w:r>
            <w:r>
              <w:rPr>
                <w:rFonts w:ascii="Arial" w:eastAsia="Arial" w:hAnsi="Arial" w:cs="Arial"/>
                <w:i/>
              </w:rPr>
              <w:t>pour vérifier les résultats</w:t>
            </w:r>
            <w:r>
              <w:rPr>
                <w:rFonts w:ascii="Arial" w:eastAsia="Arial" w:hAnsi="Arial" w:cs="Arial"/>
                <w:b/>
                <w:i/>
              </w:rPr>
              <w:t xml:space="preserve"> </w:t>
            </w:r>
            <w:r>
              <w:rPr>
                <w:rFonts w:ascii="Arial" w:eastAsia="Arial" w:hAnsi="Arial" w:cs="Arial"/>
                <w:i/>
              </w:rPr>
              <w:t>de la mise en œuvre du protocole.</w:t>
            </w:r>
          </w:p>
        </w:tc>
      </w:tr>
      <w:tr w:rsidR="00CF402D" w14:paraId="2C5B4674" w14:textId="77777777">
        <w:tc>
          <w:tcPr>
            <w:tcW w:w="15446" w:type="dxa"/>
            <w:shd w:val="clear" w:color="auto" w:fill="F2F2F2"/>
          </w:tcPr>
          <w:p w14:paraId="51FB2F88" w14:textId="77777777" w:rsidR="00CF402D" w:rsidRDefault="00000000">
            <w:pPr>
              <w:widowControl w:val="0"/>
              <w:spacing w:before="120" w:after="120"/>
              <w:rPr>
                <w:rFonts w:ascii="Arial" w:eastAsia="Arial" w:hAnsi="Arial" w:cs="Arial"/>
              </w:rPr>
            </w:pPr>
            <w:r>
              <w:rPr>
                <w:rFonts w:ascii="Arial" w:eastAsia="Arial" w:hAnsi="Arial" w:cs="Arial"/>
                <w:b/>
              </w:rPr>
              <w:t>Partie B : Communication des résultats, interprétation, poursuite de la stratégie (durée recommandée : 30 minutes)</w:t>
            </w:r>
          </w:p>
        </w:tc>
      </w:tr>
      <w:tr w:rsidR="00CF402D" w14:paraId="4AE8070A" w14:textId="77777777">
        <w:tc>
          <w:tcPr>
            <w:tcW w:w="15446" w:type="dxa"/>
          </w:tcPr>
          <w:p w14:paraId="44AAA602" w14:textId="77777777" w:rsidR="00CF402D" w:rsidRDefault="00000000">
            <w:pPr>
              <w:widowControl w:val="0"/>
              <w:spacing w:before="120"/>
              <w:rPr>
                <w:rFonts w:ascii="Arial" w:eastAsia="Arial" w:hAnsi="Arial" w:cs="Arial"/>
                <w:b/>
              </w:rPr>
            </w:pPr>
            <w:r>
              <w:rPr>
                <w:rFonts w:ascii="Arial" w:eastAsia="Arial" w:hAnsi="Arial" w:cs="Arial"/>
                <w:b/>
              </w:rPr>
              <w:t>Présenter et traiter les résultats obtenus</w:t>
            </w:r>
            <w:r>
              <w:rPr>
                <w:rFonts w:ascii="Arial" w:eastAsia="Arial" w:hAnsi="Arial" w:cs="Arial"/>
              </w:rPr>
              <w:t xml:space="preserve">, sous la forme de votre choix et les </w:t>
            </w:r>
            <w:r>
              <w:rPr>
                <w:rFonts w:ascii="Arial" w:eastAsia="Arial" w:hAnsi="Arial" w:cs="Arial"/>
                <w:b/>
              </w:rPr>
              <w:t>interpréter</w:t>
            </w:r>
            <w:r>
              <w:rPr>
                <w:rFonts w:ascii="Arial" w:eastAsia="Arial" w:hAnsi="Arial" w:cs="Arial"/>
              </w:rPr>
              <w:t>.</w:t>
            </w:r>
            <w:r>
              <w:rPr>
                <w:rFonts w:ascii="Arial" w:eastAsia="Arial" w:hAnsi="Arial" w:cs="Arial"/>
                <w:b/>
              </w:rPr>
              <w:t xml:space="preserve"> </w:t>
            </w:r>
          </w:p>
          <w:p w14:paraId="61AF7AB5" w14:textId="77777777" w:rsidR="00CF402D" w:rsidRDefault="00CF402D">
            <w:pPr>
              <w:widowControl w:val="0"/>
              <w:jc w:val="both"/>
              <w:rPr>
                <w:rFonts w:ascii="Arial" w:eastAsia="Arial" w:hAnsi="Arial" w:cs="Arial"/>
                <w:b/>
              </w:rPr>
            </w:pPr>
          </w:p>
          <w:p w14:paraId="240365BF" w14:textId="77777777" w:rsidR="00CF402D" w:rsidRDefault="00000000">
            <w:pPr>
              <w:widowControl w:val="0"/>
              <w:jc w:val="center"/>
              <w:rPr>
                <w:rFonts w:ascii="Arial" w:eastAsia="Arial" w:hAnsi="Arial" w:cs="Arial"/>
                <w:i/>
              </w:rPr>
            </w:pPr>
            <w:r>
              <w:rPr>
                <w:rFonts w:ascii="Arial" w:eastAsia="Arial" w:hAnsi="Arial" w:cs="Arial"/>
                <w:b/>
                <w:i/>
              </w:rPr>
              <w:t xml:space="preserve">Répondre sur la fiche-réponse candidat, appeler l’examinateur </w:t>
            </w:r>
            <w:r>
              <w:rPr>
                <w:rFonts w:ascii="Arial" w:eastAsia="Arial" w:hAnsi="Arial" w:cs="Arial"/>
                <w:i/>
              </w:rPr>
              <w:t>pour vérification de votre production et obtenir une ressource complémentaire.</w:t>
            </w:r>
          </w:p>
          <w:p w14:paraId="31630AC2" w14:textId="77777777" w:rsidR="00CF402D" w:rsidRDefault="00CF402D">
            <w:pPr>
              <w:widowControl w:val="0"/>
              <w:jc w:val="center"/>
              <w:rPr>
                <w:rFonts w:ascii="Arial" w:eastAsia="Arial" w:hAnsi="Arial" w:cs="Arial"/>
                <w:b/>
                <w:i/>
              </w:rPr>
            </w:pPr>
          </w:p>
          <w:p w14:paraId="3FA07B0F" w14:textId="77777777" w:rsidR="00CF402D" w:rsidRDefault="00000000">
            <w:pPr>
              <w:widowControl w:val="0"/>
              <w:rPr>
                <w:rFonts w:ascii="Arial" w:eastAsia="Arial" w:hAnsi="Arial" w:cs="Arial"/>
              </w:rPr>
            </w:pPr>
            <w:r>
              <w:rPr>
                <w:rFonts w:ascii="Arial" w:eastAsia="Arial" w:hAnsi="Arial" w:cs="Arial"/>
                <w:b/>
              </w:rPr>
              <w:t xml:space="preserve">Proposer </w:t>
            </w:r>
            <w:r>
              <w:rPr>
                <w:rFonts w:ascii="Arial" w:eastAsia="Arial" w:hAnsi="Arial" w:cs="Arial"/>
              </w:rPr>
              <w:t>une poursuite de stratégie permettant de préciser la conséquence de la fixation du diazépam sur le fonctionnement des neurones cérébraux.</w:t>
            </w:r>
          </w:p>
          <w:p w14:paraId="0A9DCC57" w14:textId="77777777" w:rsidR="00CF402D" w:rsidRDefault="00CF402D">
            <w:pPr>
              <w:widowControl w:val="0"/>
              <w:jc w:val="both"/>
              <w:rPr>
                <w:rFonts w:ascii="Arial" w:eastAsia="Arial" w:hAnsi="Arial" w:cs="Arial"/>
              </w:rPr>
            </w:pPr>
          </w:p>
          <w:p w14:paraId="62B4C992" w14:textId="77777777" w:rsidR="00CF402D" w:rsidRDefault="00000000">
            <w:pPr>
              <w:widowControl w:val="0"/>
              <w:jc w:val="center"/>
              <w:rPr>
                <w:rFonts w:ascii="Arial" w:eastAsia="Arial" w:hAnsi="Arial" w:cs="Arial"/>
                <w:b/>
                <w:i/>
              </w:rPr>
            </w:pPr>
            <w:r>
              <w:rPr>
                <w:rFonts w:ascii="Arial" w:eastAsia="Arial" w:hAnsi="Arial" w:cs="Arial"/>
                <w:b/>
                <w:i/>
              </w:rPr>
              <w:t xml:space="preserve">Appeler l’examinateur </w:t>
            </w:r>
            <w:r>
              <w:rPr>
                <w:rFonts w:ascii="Arial" w:eastAsia="Arial" w:hAnsi="Arial" w:cs="Arial"/>
                <w:i/>
              </w:rPr>
              <w:t>pour formaliser votre proposition à l’oral</w:t>
            </w:r>
            <w:r>
              <w:rPr>
                <w:rFonts w:ascii="Arial" w:eastAsia="Arial" w:hAnsi="Arial" w:cs="Arial"/>
                <w:b/>
                <w:i/>
              </w:rPr>
              <w:t xml:space="preserve"> et obtenir une ressource complémentaire.</w:t>
            </w:r>
          </w:p>
          <w:p w14:paraId="4CA5C712" w14:textId="77777777" w:rsidR="00CF402D" w:rsidRDefault="00CF402D">
            <w:pPr>
              <w:widowControl w:val="0"/>
              <w:jc w:val="center"/>
              <w:rPr>
                <w:rFonts w:ascii="Arial" w:eastAsia="Arial" w:hAnsi="Arial" w:cs="Arial"/>
                <w:b/>
                <w:i/>
              </w:rPr>
            </w:pPr>
          </w:p>
          <w:p w14:paraId="0ED2E000" w14:textId="77777777" w:rsidR="00CF402D" w:rsidRDefault="00000000">
            <w:pPr>
              <w:widowControl w:val="0"/>
              <w:spacing w:after="120"/>
              <w:rPr>
                <w:rFonts w:ascii="Arial" w:eastAsia="Arial" w:hAnsi="Arial" w:cs="Arial"/>
              </w:rPr>
            </w:pPr>
            <w:r>
              <w:rPr>
                <w:rFonts w:ascii="Arial" w:eastAsia="Arial" w:hAnsi="Arial" w:cs="Arial"/>
                <w:b/>
              </w:rPr>
              <w:t>Conclure</w:t>
            </w:r>
            <w:r>
              <w:rPr>
                <w:rFonts w:ascii="Arial" w:eastAsia="Arial" w:hAnsi="Arial" w:cs="Arial"/>
              </w:rPr>
              <w:t xml:space="preserve"> à partir de l’ensemble des données, sur</w:t>
            </w:r>
            <w:r>
              <w:rPr>
                <w:rFonts w:ascii="Arial" w:eastAsia="Arial" w:hAnsi="Arial" w:cs="Arial"/>
                <w:b/>
              </w:rPr>
              <w:t xml:space="preserve"> </w:t>
            </w:r>
            <w:r>
              <w:rPr>
                <w:rFonts w:ascii="Arial" w:eastAsia="Arial" w:hAnsi="Arial" w:cs="Arial"/>
              </w:rPr>
              <w:t>la manière dont le diazépam participe à la diminution des symptômes d’anxiété liés au stress chronique.</w:t>
            </w:r>
          </w:p>
        </w:tc>
      </w:tr>
    </w:tbl>
    <w:p w14:paraId="4262D676" w14:textId="77777777" w:rsidR="00CF402D" w:rsidRDefault="00000000">
      <w:pPr>
        <w:jc w:val="right"/>
      </w:pPr>
      <w:r>
        <w:br w:type="page"/>
      </w:r>
      <w:r>
        <w:rPr>
          <w:rFonts w:ascii="Arial" w:eastAsia="Arial" w:hAnsi="Arial" w:cs="Arial"/>
        </w:rPr>
        <w:lastRenderedPageBreak/>
        <w:t>Fiche sujet – candidat (2/3)</w:t>
      </w:r>
    </w:p>
    <w:tbl>
      <w:tblPr>
        <w:tblStyle w:val="a1"/>
        <w:tblW w:w="15522" w:type="dxa"/>
        <w:tblInd w:w="-10" w:type="dxa"/>
        <w:tblLayout w:type="fixed"/>
        <w:tblLook w:val="0000" w:firstRow="0" w:lastRow="0" w:firstColumn="0" w:lastColumn="0" w:noHBand="0" w:noVBand="0"/>
      </w:tblPr>
      <w:tblGrid>
        <w:gridCol w:w="4257"/>
        <w:gridCol w:w="11265"/>
      </w:tblGrid>
      <w:tr w:rsidR="00CF402D" w14:paraId="3DFEEB53" w14:textId="77777777">
        <w:trPr>
          <w:trHeight w:val="20"/>
        </w:trPr>
        <w:tc>
          <w:tcPr>
            <w:tcW w:w="1552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4CA3FD0" w14:textId="77777777" w:rsidR="00CF402D" w:rsidRDefault="00000000">
            <w:pPr>
              <w:widowControl w:val="0"/>
              <w:spacing w:before="120" w:after="120"/>
              <w:jc w:val="center"/>
            </w:pPr>
            <w:r>
              <w:rPr>
                <w:rFonts w:ascii="Arial" w:eastAsia="Arial" w:hAnsi="Arial" w:cs="Arial"/>
                <w:b/>
              </w:rPr>
              <w:t>Protocole</w:t>
            </w:r>
          </w:p>
        </w:tc>
      </w:tr>
      <w:tr w:rsidR="00CF402D" w14:paraId="293FD46C" w14:textId="77777777">
        <w:trPr>
          <w:trHeight w:val="20"/>
        </w:trPr>
        <w:tc>
          <w:tcPr>
            <w:tcW w:w="4257" w:type="dxa"/>
            <w:tcBorders>
              <w:top w:val="single" w:sz="4" w:space="0" w:color="000000"/>
              <w:left w:val="single" w:sz="4" w:space="0" w:color="000000"/>
              <w:bottom w:val="single" w:sz="4" w:space="0" w:color="000000"/>
            </w:tcBorders>
            <w:shd w:val="clear" w:color="auto" w:fill="auto"/>
          </w:tcPr>
          <w:p w14:paraId="7796A40B" w14:textId="77777777" w:rsidR="00CF402D" w:rsidRDefault="00000000">
            <w:pPr>
              <w:widowControl w:val="0"/>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rPr>
              <w:t>Matériel :</w:t>
            </w:r>
          </w:p>
          <w:p w14:paraId="6920327B" w14:textId="77777777" w:rsidR="00CF402D" w:rsidRDefault="00000000">
            <w:pPr>
              <w:widowControl w:val="0"/>
              <w:numPr>
                <w:ilvl w:val="0"/>
                <w:numId w:val="1"/>
              </w:numPr>
              <w:pBdr>
                <w:top w:val="nil"/>
                <w:left w:val="nil"/>
                <w:bottom w:val="nil"/>
                <w:right w:val="nil"/>
                <w:between w:val="nil"/>
              </w:pBdr>
              <w:shd w:val="clear" w:color="auto" w:fill="FFFFFF"/>
              <w:ind w:left="326" w:hanging="247"/>
              <w:rPr>
                <w:rFonts w:ascii="Arial" w:eastAsia="Arial" w:hAnsi="Arial" w:cs="Arial"/>
                <w:color w:val="000000"/>
              </w:rPr>
            </w:pPr>
            <w:r>
              <w:rPr>
                <w:rFonts w:ascii="Arial" w:eastAsia="Arial" w:hAnsi="Arial" w:cs="Arial"/>
                <w:color w:val="000000"/>
              </w:rPr>
              <w:t>1 microscope optique + dispositif de capture numérique ;</w:t>
            </w:r>
          </w:p>
          <w:p w14:paraId="133D7586"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lames et lamelles ;</w:t>
            </w:r>
          </w:p>
          <w:p w14:paraId="37D24B2E"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1 aiguille lancéolée ;</w:t>
            </w:r>
          </w:p>
          <w:p w14:paraId="199AF1B7"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1 verre de montre ;</w:t>
            </w:r>
          </w:p>
          <w:p w14:paraId="6837B053"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1 feuille de papier filtre ;</w:t>
            </w:r>
          </w:p>
          <w:p w14:paraId="3B745EDB"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1 cervelle de mouton ou de veau ;</w:t>
            </w:r>
          </w:p>
          <w:p w14:paraId="7A67D750"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bleu de méthylène ;</w:t>
            </w:r>
          </w:p>
          <w:p w14:paraId="7CBC1D82" w14:textId="77777777" w:rsidR="00CF402D" w:rsidRDefault="00000000">
            <w:pPr>
              <w:widowControl w:val="0"/>
              <w:numPr>
                <w:ilvl w:val="0"/>
                <w:numId w:val="1"/>
              </w:numPr>
              <w:pBdr>
                <w:top w:val="nil"/>
                <w:left w:val="nil"/>
                <w:bottom w:val="nil"/>
                <w:right w:val="nil"/>
                <w:between w:val="nil"/>
              </w:pBdr>
              <w:shd w:val="clear" w:color="auto" w:fill="FFFFFF"/>
              <w:spacing w:line="252" w:lineRule="auto"/>
              <w:ind w:left="326" w:hanging="247"/>
              <w:rPr>
                <w:rFonts w:ascii="Arial" w:eastAsia="Arial" w:hAnsi="Arial" w:cs="Arial"/>
                <w:color w:val="000000"/>
              </w:rPr>
            </w:pPr>
            <w:r>
              <w:rPr>
                <w:rFonts w:ascii="Arial" w:eastAsia="Arial" w:hAnsi="Arial" w:cs="Arial"/>
                <w:color w:val="000000"/>
              </w:rPr>
              <w:t>1 lame de rasoir ou scalpel ;</w:t>
            </w:r>
          </w:p>
          <w:p w14:paraId="57C4F165" w14:textId="77777777" w:rsidR="00CF402D" w:rsidRDefault="00000000">
            <w:pPr>
              <w:widowControl w:val="0"/>
              <w:numPr>
                <w:ilvl w:val="0"/>
                <w:numId w:val="1"/>
              </w:numPr>
              <w:pBdr>
                <w:top w:val="nil"/>
                <w:left w:val="nil"/>
                <w:bottom w:val="nil"/>
                <w:right w:val="nil"/>
                <w:between w:val="nil"/>
              </w:pBdr>
              <w:shd w:val="clear" w:color="auto" w:fill="FFFFFF"/>
              <w:spacing w:after="160" w:line="252" w:lineRule="auto"/>
              <w:ind w:left="326" w:hanging="247"/>
              <w:rPr>
                <w:rFonts w:ascii="Arial" w:eastAsia="Arial" w:hAnsi="Arial" w:cs="Arial"/>
                <w:color w:val="000000"/>
              </w:rPr>
            </w:pPr>
            <w:r>
              <w:rPr>
                <w:rFonts w:ascii="Arial" w:eastAsia="Arial" w:hAnsi="Arial" w:cs="Arial"/>
                <w:color w:val="000000"/>
              </w:rPr>
              <w:t>1 chronomètre ;</w:t>
            </w:r>
          </w:p>
          <w:p w14:paraId="396DA28F" w14:textId="77777777" w:rsidR="00CF402D" w:rsidRDefault="00000000">
            <w:pPr>
              <w:widowControl w:val="0"/>
              <w:numPr>
                <w:ilvl w:val="0"/>
                <w:numId w:val="8"/>
              </w:numPr>
              <w:spacing w:before="120"/>
              <w:ind w:left="326" w:right="317" w:hanging="247"/>
              <w:rPr>
                <w:rFonts w:ascii="Arial" w:eastAsia="Arial" w:hAnsi="Arial" w:cs="Arial"/>
                <w:color w:val="000000"/>
              </w:rPr>
            </w:pPr>
            <w:r>
              <w:rPr>
                <w:rFonts w:ascii="Arial" w:eastAsia="Arial" w:hAnsi="Arial" w:cs="Arial"/>
                <w:color w:val="000000"/>
              </w:rPr>
              <w:t>logiciel de modélisation moléculaire et sa fiche technique ;</w:t>
            </w:r>
          </w:p>
          <w:p w14:paraId="3E020CE2" w14:textId="77777777" w:rsidR="00CF402D" w:rsidRDefault="00000000">
            <w:pPr>
              <w:widowControl w:val="0"/>
              <w:numPr>
                <w:ilvl w:val="0"/>
                <w:numId w:val="8"/>
              </w:numPr>
              <w:spacing w:before="120"/>
              <w:ind w:left="326" w:right="317" w:hanging="247"/>
              <w:rPr>
                <w:rFonts w:ascii="Arial" w:eastAsia="Arial" w:hAnsi="Arial" w:cs="Arial"/>
                <w:color w:val="000000"/>
              </w:rPr>
            </w:pPr>
            <w:r>
              <w:rPr>
                <w:rFonts w:ascii="Arial" w:eastAsia="Arial" w:hAnsi="Arial" w:cs="Arial"/>
                <w:color w:val="000000"/>
              </w:rPr>
              <w:t xml:space="preserve">modèle moléculaire : </w:t>
            </w:r>
          </w:p>
          <w:p w14:paraId="6FB51822" w14:textId="77777777" w:rsidR="00CF402D" w:rsidRDefault="00000000">
            <w:pPr>
              <w:widowControl w:val="0"/>
              <w:spacing w:after="120"/>
              <w:ind w:left="326" w:right="318" w:hanging="247"/>
              <w:rPr>
                <w:rFonts w:ascii="Arial" w:eastAsia="Arial" w:hAnsi="Arial" w:cs="Arial"/>
                <w:color w:val="000000"/>
              </w:rPr>
            </w:pPr>
            <w:r>
              <w:rPr>
                <w:rFonts w:ascii="Arial" w:eastAsia="Arial" w:hAnsi="Arial" w:cs="Arial"/>
                <w:color w:val="000000"/>
              </w:rPr>
              <w:t>Recepteur_GABA_avec_GABA_et_DIAZEPAM.pdb.</w:t>
            </w:r>
          </w:p>
        </w:tc>
        <w:tc>
          <w:tcPr>
            <w:tcW w:w="11265" w:type="dxa"/>
            <w:tcBorders>
              <w:top w:val="single" w:sz="4" w:space="0" w:color="000000"/>
              <w:left w:val="single" w:sz="4" w:space="0" w:color="000000"/>
              <w:bottom w:val="single" w:sz="4" w:space="0" w:color="000000"/>
              <w:right w:val="single" w:sz="4" w:space="0" w:color="000000"/>
            </w:tcBorders>
            <w:shd w:val="clear" w:color="auto" w:fill="auto"/>
          </w:tcPr>
          <w:p w14:paraId="116BCEFC" w14:textId="77777777" w:rsidR="00CF402D" w:rsidRDefault="00000000">
            <w:pPr>
              <w:widowControl w:val="0"/>
              <w:spacing w:before="120" w:after="360"/>
              <w:rPr>
                <w:rFonts w:ascii="Arial" w:eastAsia="Arial" w:hAnsi="Arial" w:cs="Arial"/>
                <w:b/>
                <w:color w:val="000000"/>
              </w:rPr>
            </w:pPr>
            <w:r>
              <w:rPr>
                <w:rFonts w:ascii="Arial" w:eastAsia="Arial" w:hAnsi="Arial" w:cs="Arial"/>
                <w:b/>
                <w:color w:val="000000"/>
              </w:rPr>
              <w:t xml:space="preserve">Étapes du protocole à réaliser : </w:t>
            </w:r>
          </w:p>
          <w:p w14:paraId="6FF04C1F" w14:textId="77777777" w:rsidR="00CF402D" w:rsidRDefault="00000000">
            <w:pPr>
              <w:widowControl w:val="0"/>
              <w:numPr>
                <w:ilvl w:val="0"/>
                <w:numId w:val="2"/>
              </w:numPr>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réaliser un montage lame-lamelle selon le protocole suivant :</w:t>
            </w:r>
          </w:p>
          <w:p w14:paraId="70A53267" w14:textId="77777777" w:rsidR="00CF402D" w:rsidRDefault="00000000">
            <w:pPr>
              <w:widowControl w:val="0"/>
              <w:numPr>
                <w:ilvl w:val="0"/>
                <w:numId w:val="9"/>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b/>
                <w:color w:val="000000"/>
              </w:rPr>
              <w:t>découper</w:t>
            </w:r>
            <w:r>
              <w:rPr>
                <w:rFonts w:ascii="Arial" w:eastAsia="Arial" w:hAnsi="Arial" w:cs="Arial"/>
                <w:color w:val="000000"/>
              </w:rPr>
              <w:t xml:space="preserve"> une tranche fine de cervelle à l’aide d’une lame de rasoir ou d’un scalpel ;</w:t>
            </w:r>
          </w:p>
          <w:p w14:paraId="0C8B7E0D" w14:textId="77777777" w:rsidR="00CF402D" w:rsidRDefault="00000000">
            <w:pPr>
              <w:widowControl w:val="0"/>
              <w:numPr>
                <w:ilvl w:val="0"/>
                <w:numId w:val="9"/>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b/>
                <w:color w:val="000000"/>
              </w:rPr>
              <w:t xml:space="preserve">déposer </w:t>
            </w:r>
            <w:r>
              <w:rPr>
                <w:rFonts w:ascii="Arial" w:eastAsia="Arial" w:hAnsi="Arial" w:cs="Arial"/>
                <w:color w:val="000000"/>
              </w:rPr>
              <w:t xml:space="preserve">la tranche fine dans un verre de montre et la </w:t>
            </w:r>
            <w:r>
              <w:rPr>
                <w:rFonts w:ascii="Arial" w:eastAsia="Arial" w:hAnsi="Arial" w:cs="Arial"/>
                <w:b/>
                <w:color w:val="000000"/>
              </w:rPr>
              <w:t>recouvrir</w:t>
            </w:r>
            <w:r>
              <w:rPr>
                <w:rFonts w:ascii="Arial" w:eastAsia="Arial" w:hAnsi="Arial" w:cs="Arial"/>
                <w:color w:val="000000"/>
              </w:rPr>
              <w:t xml:space="preserve"> de bleu de méthylène ;</w:t>
            </w:r>
          </w:p>
          <w:p w14:paraId="5E6F6A19" w14:textId="77777777" w:rsidR="00CF402D" w:rsidRDefault="00000000">
            <w:pPr>
              <w:widowControl w:val="0"/>
              <w:numPr>
                <w:ilvl w:val="0"/>
                <w:numId w:val="9"/>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b/>
                <w:color w:val="000000"/>
              </w:rPr>
              <w:t xml:space="preserve">attendre </w:t>
            </w:r>
            <w:r>
              <w:rPr>
                <w:rFonts w:ascii="Arial" w:eastAsia="Arial" w:hAnsi="Arial" w:cs="Arial"/>
                <w:color w:val="000000"/>
              </w:rPr>
              <w:t>5 à 10 minutes ;</w:t>
            </w:r>
          </w:p>
          <w:p w14:paraId="734635D1" w14:textId="77777777" w:rsidR="00CF402D" w:rsidRDefault="00000000">
            <w:pPr>
              <w:widowControl w:val="0"/>
              <w:numPr>
                <w:ilvl w:val="0"/>
                <w:numId w:val="9"/>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b/>
                <w:color w:val="000000"/>
                <w:highlight w:val="white"/>
              </w:rPr>
              <w:t>prélever</w:t>
            </w:r>
            <w:r>
              <w:rPr>
                <w:rFonts w:ascii="Arial" w:eastAsia="Arial" w:hAnsi="Arial" w:cs="Arial"/>
                <w:color w:val="000000"/>
                <w:highlight w:val="white"/>
              </w:rPr>
              <w:t xml:space="preserve"> à l’aide de l’aiguille lancéolée un petit morceau de la tranche colorée au bleu de méthylène ;</w:t>
            </w:r>
          </w:p>
          <w:p w14:paraId="678B92FA" w14:textId="77777777" w:rsidR="00CF402D" w:rsidRDefault="00000000">
            <w:pPr>
              <w:widowControl w:val="0"/>
              <w:numPr>
                <w:ilvl w:val="0"/>
                <w:numId w:val="9"/>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b/>
                <w:color w:val="000000"/>
              </w:rPr>
              <w:t>réaliser</w:t>
            </w:r>
            <w:r>
              <w:rPr>
                <w:rFonts w:ascii="Arial" w:eastAsia="Arial" w:hAnsi="Arial" w:cs="Arial"/>
                <w:color w:val="000000"/>
              </w:rPr>
              <w:t xml:space="preserve"> un montage lame-lamelle et </w:t>
            </w:r>
            <w:r>
              <w:rPr>
                <w:rFonts w:ascii="Arial" w:eastAsia="Arial" w:hAnsi="Arial" w:cs="Arial"/>
                <w:b/>
                <w:color w:val="000000"/>
              </w:rPr>
              <w:t>observer</w:t>
            </w:r>
            <w:r>
              <w:rPr>
                <w:rFonts w:ascii="Arial" w:eastAsia="Arial" w:hAnsi="Arial" w:cs="Arial"/>
                <w:color w:val="000000"/>
              </w:rPr>
              <w:t xml:space="preserve"> au microscope ;</w:t>
            </w:r>
          </w:p>
          <w:p w14:paraId="70926AFE" w14:textId="77777777" w:rsidR="00CF402D" w:rsidRDefault="00000000">
            <w:pPr>
              <w:widowControl w:val="0"/>
              <w:numPr>
                <w:ilvl w:val="0"/>
                <w:numId w:val="2"/>
              </w:numPr>
              <w:pBdr>
                <w:top w:val="nil"/>
                <w:left w:val="nil"/>
                <w:bottom w:val="nil"/>
                <w:right w:val="nil"/>
                <w:between w:val="nil"/>
              </w:pBdr>
              <w:spacing w:before="240" w:after="120"/>
              <w:rPr>
                <w:rFonts w:ascii="Arial" w:eastAsia="Arial" w:hAnsi="Arial" w:cs="Arial"/>
                <w:b/>
                <w:color w:val="000000"/>
              </w:rPr>
            </w:pPr>
            <w:r>
              <w:rPr>
                <w:rFonts w:ascii="Arial" w:eastAsia="Arial" w:hAnsi="Arial" w:cs="Arial"/>
                <w:b/>
                <w:color w:val="000000"/>
              </w:rPr>
              <w:t>étudier le modèle moléculaire selon le protocole suivant :</w:t>
            </w:r>
          </w:p>
          <w:p w14:paraId="3C1F7AE0" w14:textId="77777777" w:rsidR="00CF402D" w:rsidRDefault="00000000">
            <w:pPr>
              <w:widowControl w:val="0"/>
              <w:numPr>
                <w:ilvl w:val="0"/>
                <w:numId w:val="3"/>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color w:val="000000"/>
              </w:rPr>
              <w:t xml:space="preserve">à l’aide du logiciel de modélisation moléculaire, </w:t>
            </w:r>
            <w:r>
              <w:rPr>
                <w:rFonts w:ascii="Arial" w:eastAsia="Arial" w:hAnsi="Arial" w:cs="Arial"/>
                <w:b/>
                <w:color w:val="000000"/>
              </w:rPr>
              <w:t>localiser</w:t>
            </w:r>
            <w:r>
              <w:rPr>
                <w:rFonts w:ascii="Arial" w:eastAsia="Arial" w:hAnsi="Arial" w:cs="Arial"/>
                <w:color w:val="000000"/>
              </w:rPr>
              <w:t xml:space="preserve"> le GABA sur son récepteur ;</w:t>
            </w:r>
          </w:p>
          <w:p w14:paraId="1EB9ACBB" w14:textId="77777777" w:rsidR="00CF402D" w:rsidRDefault="00000000">
            <w:pPr>
              <w:widowControl w:val="0"/>
              <w:numPr>
                <w:ilvl w:val="0"/>
                <w:numId w:val="3"/>
              </w:numPr>
              <w:pBdr>
                <w:top w:val="nil"/>
                <w:left w:val="nil"/>
                <w:bottom w:val="nil"/>
                <w:right w:val="nil"/>
                <w:between w:val="nil"/>
              </w:pBdr>
              <w:spacing w:before="120" w:after="120"/>
              <w:ind w:left="1450"/>
              <w:rPr>
                <w:rFonts w:ascii="Arial" w:eastAsia="Arial" w:hAnsi="Arial" w:cs="Arial"/>
                <w:color w:val="000000"/>
              </w:rPr>
            </w:pPr>
            <w:r>
              <w:rPr>
                <w:rFonts w:ascii="Arial" w:eastAsia="Arial" w:hAnsi="Arial" w:cs="Arial"/>
                <w:color w:val="000000"/>
              </w:rPr>
              <w:t>à l’aide du logiciel de modélisation moléculaire</w:t>
            </w:r>
            <w:r>
              <w:rPr>
                <w:rFonts w:ascii="Arial" w:eastAsia="Arial" w:hAnsi="Arial" w:cs="Arial"/>
                <w:b/>
                <w:color w:val="000000"/>
              </w:rPr>
              <w:t>, localiser</w:t>
            </w:r>
            <w:r>
              <w:rPr>
                <w:rFonts w:ascii="Arial" w:eastAsia="Arial" w:hAnsi="Arial" w:cs="Arial"/>
                <w:color w:val="000000"/>
              </w:rPr>
              <w:t xml:space="preserve"> le diazépam sur le récepteur GABA ;</w:t>
            </w:r>
          </w:p>
          <w:p w14:paraId="5424551A" w14:textId="77777777" w:rsidR="00CF402D" w:rsidRDefault="00000000">
            <w:pPr>
              <w:widowControl w:val="0"/>
              <w:shd w:val="clear" w:color="auto" w:fill="FFFFFF"/>
              <w:spacing w:before="240" w:after="120"/>
              <w:rPr>
                <w:rFonts w:ascii="Arial" w:eastAsia="Arial" w:hAnsi="Arial" w:cs="Arial"/>
                <w:color w:val="000000"/>
              </w:rPr>
            </w:pPr>
            <w:r>
              <w:rPr>
                <w:rFonts w:ascii="Arial" w:eastAsia="Arial" w:hAnsi="Arial" w:cs="Arial"/>
                <w:color w:val="000000"/>
              </w:rPr>
              <w:t>Code des molécules :</w:t>
            </w:r>
          </w:p>
          <w:p w14:paraId="10E1B81D" w14:textId="77777777" w:rsidR="00CF402D" w:rsidRDefault="00000000">
            <w:pPr>
              <w:widowControl w:val="0"/>
              <w:shd w:val="clear" w:color="auto" w:fill="FFFFFF"/>
              <w:spacing w:after="120"/>
              <w:ind w:left="600"/>
              <w:rPr>
                <w:rFonts w:ascii="Arial" w:eastAsia="Arial" w:hAnsi="Arial" w:cs="Arial"/>
                <w:color w:val="0070C0"/>
              </w:rPr>
            </w:pPr>
            <w:r>
              <w:rPr>
                <w:rFonts w:ascii="Arial" w:eastAsia="Arial" w:hAnsi="Arial" w:cs="Arial"/>
                <w:color w:val="000000"/>
              </w:rPr>
              <w:t>ABU = molécule de GABA</w:t>
            </w:r>
          </w:p>
          <w:p w14:paraId="3E60F911" w14:textId="77777777" w:rsidR="00CF402D" w:rsidRDefault="00000000">
            <w:pPr>
              <w:widowControl w:val="0"/>
              <w:shd w:val="clear" w:color="auto" w:fill="FFFFFF"/>
              <w:spacing w:after="120"/>
              <w:ind w:left="600"/>
              <w:rPr>
                <w:rFonts w:ascii="Arial" w:eastAsia="Arial" w:hAnsi="Arial" w:cs="Arial"/>
                <w:color w:val="000000"/>
              </w:rPr>
            </w:pPr>
            <w:r>
              <w:rPr>
                <w:rFonts w:ascii="Arial" w:eastAsia="Arial" w:hAnsi="Arial" w:cs="Arial"/>
                <w:color w:val="000000"/>
              </w:rPr>
              <w:t>DZP = molécule de diazépam</w:t>
            </w:r>
          </w:p>
        </w:tc>
      </w:tr>
      <w:tr w:rsidR="00CF402D" w14:paraId="6FE1A7F0" w14:textId="77777777">
        <w:trPr>
          <w:trHeight w:val="1869"/>
        </w:trPr>
        <w:tc>
          <w:tcPr>
            <w:tcW w:w="4257" w:type="dxa"/>
            <w:tcBorders>
              <w:top w:val="single" w:sz="4" w:space="0" w:color="000000"/>
              <w:left w:val="single" w:sz="4" w:space="0" w:color="000000"/>
              <w:bottom w:val="single" w:sz="4" w:space="0" w:color="000000"/>
            </w:tcBorders>
            <w:shd w:val="clear" w:color="auto" w:fill="auto"/>
          </w:tcPr>
          <w:p w14:paraId="10C50582" w14:textId="77777777" w:rsidR="00CF402D" w:rsidRDefault="00000000">
            <w:pPr>
              <w:widowControl w:val="0"/>
              <w:pBdr>
                <w:top w:val="nil"/>
                <w:left w:val="nil"/>
                <w:bottom w:val="nil"/>
                <w:right w:val="nil"/>
                <w:between w:val="nil"/>
              </w:pBdr>
              <w:spacing w:before="120" w:after="120"/>
              <w:jc w:val="both"/>
              <w:rPr>
                <w:rFonts w:ascii="Arial" w:eastAsia="Arial" w:hAnsi="Arial" w:cs="Arial"/>
                <w:b/>
                <w:color w:val="000000"/>
              </w:rPr>
            </w:pPr>
            <w:r>
              <w:rPr>
                <w:rFonts w:ascii="Arial" w:eastAsia="Arial" w:hAnsi="Arial" w:cs="Arial"/>
                <w:b/>
                <w:color w:val="000000"/>
              </w:rPr>
              <w:t>Sécurité :</w:t>
            </w:r>
          </w:p>
          <w:p w14:paraId="717110A2" w14:textId="77777777" w:rsidR="00CF402D" w:rsidRDefault="00000000">
            <w:pPr>
              <w:widowControl w:val="0"/>
              <w:pBdr>
                <w:top w:val="nil"/>
                <w:left w:val="nil"/>
                <w:bottom w:val="nil"/>
                <w:right w:val="nil"/>
                <w:between w:val="nil"/>
              </w:pBdr>
              <w:jc w:val="center"/>
              <w:rPr>
                <w:rFonts w:ascii="Arial" w:eastAsia="Arial" w:hAnsi="Arial" w:cs="Arial"/>
                <w:color w:val="000000"/>
                <w:sz w:val="16"/>
                <w:szCs w:val="16"/>
              </w:rPr>
            </w:pPr>
            <w:r>
              <w:rPr>
                <w:rFonts w:ascii="Calibri" w:eastAsia="Calibri" w:hAnsi="Calibri" w:cs="Calibri"/>
                <w:noProof/>
                <w:color w:val="000000"/>
                <w:sz w:val="22"/>
                <w:szCs w:val="22"/>
              </w:rPr>
              <w:drawing>
                <wp:inline distT="0" distB="0" distL="0" distR="0" wp14:anchorId="33F621AC" wp14:editId="04768B32">
                  <wp:extent cx="579755" cy="72009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755" cy="720090"/>
                          </a:xfrm>
                          <a:prstGeom prst="rect">
                            <a:avLst/>
                          </a:prstGeom>
                          <a:ln/>
                        </pic:spPr>
                      </pic:pic>
                    </a:graphicData>
                  </a:graphic>
                </wp:inline>
              </w:drawing>
            </w:r>
          </w:p>
        </w:tc>
        <w:tc>
          <w:tcPr>
            <w:tcW w:w="11265" w:type="dxa"/>
            <w:tcBorders>
              <w:top w:val="single" w:sz="4" w:space="0" w:color="000000"/>
              <w:left w:val="single" w:sz="4" w:space="0" w:color="000000"/>
              <w:bottom w:val="single" w:sz="4" w:space="0" w:color="000000"/>
              <w:right w:val="single" w:sz="4" w:space="0" w:color="000000"/>
            </w:tcBorders>
            <w:shd w:val="clear" w:color="auto" w:fill="auto"/>
          </w:tcPr>
          <w:p w14:paraId="199810D6" w14:textId="77777777" w:rsidR="00CF402D" w:rsidRDefault="00000000">
            <w:pPr>
              <w:widowControl w:val="0"/>
              <w:pBdr>
                <w:top w:val="nil"/>
                <w:left w:val="nil"/>
                <w:bottom w:val="nil"/>
                <w:right w:val="nil"/>
                <w:between w:val="nil"/>
              </w:pBdr>
              <w:spacing w:before="120" w:after="120"/>
              <w:ind w:left="38"/>
              <w:rPr>
                <w:rFonts w:ascii="Arial" w:eastAsia="Arial" w:hAnsi="Arial" w:cs="Arial"/>
                <w:b/>
                <w:color w:val="000000"/>
              </w:rPr>
            </w:pPr>
            <w:r>
              <w:rPr>
                <w:rFonts w:ascii="Arial" w:eastAsia="Arial" w:hAnsi="Arial" w:cs="Arial"/>
                <w:b/>
                <w:color w:val="000000"/>
              </w:rPr>
              <w:t>Précautions de la manipulation :</w:t>
            </w:r>
          </w:p>
          <w:p w14:paraId="79CAB07D" w14:textId="77777777" w:rsidR="00CF402D" w:rsidRDefault="00000000">
            <w:pPr>
              <w:widowControl w:val="0"/>
              <w:pBdr>
                <w:top w:val="nil"/>
                <w:left w:val="nil"/>
                <w:bottom w:val="nil"/>
                <w:right w:val="nil"/>
                <w:between w:val="nil"/>
              </w:pBdr>
              <w:ind w:left="37" w:right="33"/>
              <w:jc w:val="center"/>
              <w:rPr>
                <w:rFonts w:ascii="Arial" w:eastAsia="Arial" w:hAnsi="Arial" w:cs="Arial"/>
                <w:color w:val="000000"/>
              </w:rPr>
            </w:pPr>
            <w:r>
              <w:rPr>
                <w:rFonts w:ascii="Calibri" w:eastAsia="Calibri" w:hAnsi="Calibri" w:cs="Calibri"/>
                <w:noProof/>
                <w:color w:val="000000"/>
              </w:rPr>
              <w:drawing>
                <wp:inline distT="0" distB="0" distL="0" distR="0" wp14:anchorId="52C6AA1F" wp14:editId="2A794081">
                  <wp:extent cx="720090" cy="720090"/>
                  <wp:effectExtent l="0" t="0" r="0" b="0"/>
                  <wp:docPr id="9" name="image3.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3.png" descr="C:\Users\avialar\Documents\dossiers_travail\SVT\sécurité\pictogrammes\Pictogrammes2023_VGuili\blouse.png"/>
                          <pic:cNvPicPr preferRelativeResize="0"/>
                        </pic:nvPicPr>
                        <pic:blipFill>
                          <a:blip r:embed="rId9"/>
                          <a:srcRect/>
                          <a:stretch>
                            <a:fillRect/>
                          </a:stretch>
                        </pic:blipFill>
                        <pic:spPr>
                          <a:xfrm>
                            <a:off x="0" y="0"/>
                            <a:ext cx="720090" cy="720090"/>
                          </a:xfrm>
                          <a:prstGeom prst="rect">
                            <a:avLst/>
                          </a:prstGeom>
                          <a:ln/>
                        </pic:spPr>
                      </pic:pic>
                    </a:graphicData>
                  </a:graphic>
                </wp:inline>
              </w:drawing>
            </w:r>
            <w:r>
              <w:rPr>
                <w:rFonts w:ascii="Arial" w:eastAsia="Arial" w:hAnsi="Arial" w:cs="Arial"/>
                <w:color w:val="000000"/>
              </w:rPr>
              <w:t xml:space="preserve"> </w:t>
            </w:r>
            <w:r>
              <w:rPr>
                <w:rFonts w:ascii="Calibri" w:eastAsia="Calibri" w:hAnsi="Calibri" w:cs="Calibri"/>
                <w:noProof/>
                <w:color w:val="000000"/>
              </w:rPr>
              <w:drawing>
                <wp:inline distT="0" distB="0" distL="0" distR="0" wp14:anchorId="08AC5528" wp14:editId="564B8D29">
                  <wp:extent cx="720090" cy="720090"/>
                  <wp:effectExtent l="0" t="0" r="0" b="0"/>
                  <wp:docPr id="8" name="image2.png" descr="C:\Users\avialar\Documents\dossiers_travail\SVT\sécurité\pictogrammes\Pictogrammes2023_VGuili\gants.png"/>
                  <wp:cNvGraphicFramePr/>
                  <a:graphic xmlns:a="http://schemas.openxmlformats.org/drawingml/2006/main">
                    <a:graphicData uri="http://schemas.openxmlformats.org/drawingml/2006/picture">
                      <pic:pic xmlns:pic="http://schemas.openxmlformats.org/drawingml/2006/picture">
                        <pic:nvPicPr>
                          <pic:cNvPr id="0" name="image2.png" descr="C:\Users\avialar\Documents\dossiers_travail\SVT\sécurité\pictogrammes\Pictogrammes2023_VGuili\gants.png"/>
                          <pic:cNvPicPr preferRelativeResize="0"/>
                        </pic:nvPicPr>
                        <pic:blipFill>
                          <a:blip r:embed="rId10"/>
                          <a:srcRect/>
                          <a:stretch>
                            <a:fillRect/>
                          </a:stretch>
                        </pic:blipFill>
                        <pic:spPr>
                          <a:xfrm>
                            <a:off x="0" y="0"/>
                            <a:ext cx="720090" cy="720090"/>
                          </a:xfrm>
                          <a:prstGeom prst="rect">
                            <a:avLst/>
                          </a:prstGeom>
                          <a:ln/>
                        </pic:spPr>
                      </pic:pic>
                    </a:graphicData>
                  </a:graphic>
                </wp:inline>
              </w:drawing>
            </w:r>
          </w:p>
        </w:tc>
      </w:tr>
    </w:tbl>
    <w:p w14:paraId="3EF49E32" w14:textId="77777777" w:rsidR="00CF402D" w:rsidRDefault="00000000">
      <w:pPr>
        <w:jc w:val="right"/>
        <w:rPr>
          <w:rFonts w:ascii="Arial" w:eastAsia="Arial" w:hAnsi="Arial" w:cs="Arial"/>
        </w:rPr>
      </w:pPr>
      <w:r>
        <w:br w:type="page"/>
      </w:r>
      <w:r>
        <w:rPr>
          <w:rFonts w:ascii="Arial" w:eastAsia="Arial" w:hAnsi="Arial" w:cs="Arial"/>
        </w:rPr>
        <w:lastRenderedPageBreak/>
        <w:t>Fiche sujet – candidat (3/3)</w:t>
      </w:r>
    </w:p>
    <w:tbl>
      <w:tblPr>
        <w:tblStyle w:val="a2"/>
        <w:tblW w:w="15354" w:type="dxa"/>
        <w:tblInd w:w="-5" w:type="dxa"/>
        <w:tblLayout w:type="fixed"/>
        <w:tblLook w:val="0000" w:firstRow="0" w:lastRow="0" w:firstColumn="0" w:lastColumn="0" w:noHBand="0" w:noVBand="0"/>
      </w:tblPr>
      <w:tblGrid>
        <w:gridCol w:w="8505"/>
        <w:gridCol w:w="6849"/>
      </w:tblGrid>
      <w:tr w:rsidR="00CF402D" w14:paraId="5D039762" w14:textId="77777777">
        <w:trPr>
          <w:trHeight w:val="164"/>
        </w:trPr>
        <w:tc>
          <w:tcPr>
            <w:tcW w:w="153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65AF51" w14:textId="77777777" w:rsidR="00CF402D" w:rsidRDefault="00000000">
            <w:pPr>
              <w:widowControl w:val="0"/>
              <w:spacing w:before="120" w:after="120"/>
              <w:jc w:val="center"/>
              <w:rPr>
                <w:rFonts w:ascii="Arial" w:eastAsia="Arial" w:hAnsi="Arial" w:cs="Arial"/>
                <w:b/>
              </w:rPr>
            </w:pPr>
            <w:r>
              <w:rPr>
                <w:rFonts w:ascii="Arial" w:eastAsia="Arial" w:hAnsi="Arial" w:cs="Arial"/>
                <w:b/>
              </w:rPr>
              <w:t>Ressources</w:t>
            </w:r>
          </w:p>
        </w:tc>
      </w:tr>
      <w:tr w:rsidR="00CF402D" w14:paraId="75940A8C" w14:textId="77777777">
        <w:trPr>
          <w:trHeight w:val="8821"/>
        </w:trPr>
        <w:tc>
          <w:tcPr>
            <w:tcW w:w="8505" w:type="dxa"/>
            <w:tcBorders>
              <w:top w:val="single" w:sz="4" w:space="0" w:color="000000"/>
              <w:left w:val="single" w:sz="4" w:space="0" w:color="000000"/>
              <w:bottom w:val="single" w:sz="4" w:space="0" w:color="000000"/>
              <w:right w:val="single" w:sz="4" w:space="0" w:color="000000"/>
            </w:tcBorders>
          </w:tcPr>
          <w:p w14:paraId="6DD36616" w14:textId="77777777" w:rsidR="00CF402D" w:rsidRDefault="00000000">
            <w:pPr>
              <w:widowControl w:val="0"/>
              <w:spacing w:before="120"/>
              <w:rPr>
                <w:rFonts w:ascii="Arial" w:eastAsia="Arial" w:hAnsi="Arial" w:cs="Arial"/>
                <w:b/>
              </w:rPr>
            </w:pPr>
            <w:r>
              <w:rPr>
                <w:rFonts w:ascii="Arial" w:eastAsia="Arial" w:hAnsi="Arial" w:cs="Arial"/>
                <w:b/>
              </w:rPr>
              <w:t>Localisation des récepteurs GABA au niveau de neurones par la technique d’immunohistochimie et modèle moléculaire d’un récepteur GABA :</w:t>
            </w:r>
          </w:p>
          <w:p w14:paraId="620051E0" w14:textId="77777777" w:rsidR="00CF402D" w:rsidRDefault="00000000">
            <w:pPr>
              <w:widowControl w:val="0"/>
              <w:spacing w:before="120" w:after="60"/>
              <w:rPr>
                <w:rFonts w:ascii="Arial" w:eastAsia="Arial" w:hAnsi="Arial" w:cs="Arial"/>
              </w:rPr>
            </w:pPr>
            <w:r>
              <w:rPr>
                <w:rFonts w:ascii="Arial" w:eastAsia="Arial" w:hAnsi="Arial" w:cs="Arial"/>
              </w:rPr>
              <w:t xml:space="preserve">La technique d’immunohistochimie consiste à marquer par un système fluorescent (ici en rouge) des anticorps anti-récepteur GABA. Ceux-ci se fixent uniquement sur les récepteurs GABA, ce qui permet de localiser leur emplacement. </w:t>
            </w:r>
          </w:p>
          <w:p w14:paraId="4151F031" w14:textId="77777777" w:rsidR="00CF402D" w:rsidRDefault="00000000">
            <w:pPr>
              <w:widowControl w:val="0"/>
              <w:spacing w:before="120" w:after="60"/>
              <w:jc w:val="center"/>
              <w:rPr>
                <w:rFonts w:ascii="Arial" w:eastAsia="Arial" w:hAnsi="Arial" w:cs="Arial"/>
                <w:i/>
              </w:rPr>
            </w:pPr>
            <w:r>
              <w:rPr>
                <w:noProof/>
              </w:rPr>
              <w:drawing>
                <wp:inline distT="0" distB="0" distL="0" distR="0" wp14:anchorId="2B734F7D" wp14:editId="01BD2FFA">
                  <wp:extent cx="4545664" cy="413614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4246"/>
                          <a:stretch>
                            <a:fillRect/>
                          </a:stretch>
                        </pic:blipFill>
                        <pic:spPr>
                          <a:xfrm>
                            <a:off x="0" y="0"/>
                            <a:ext cx="4545664" cy="4136144"/>
                          </a:xfrm>
                          <a:prstGeom prst="rect">
                            <a:avLst/>
                          </a:prstGeom>
                          <a:ln/>
                        </pic:spPr>
                      </pic:pic>
                    </a:graphicData>
                  </a:graphic>
                </wp:inline>
              </w:drawing>
            </w:r>
          </w:p>
          <w:p w14:paraId="7F785E44" w14:textId="77777777" w:rsidR="00CF402D" w:rsidRPr="00F013D3" w:rsidRDefault="00000000">
            <w:pPr>
              <w:widowControl w:val="0"/>
              <w:spacing w:before="120" w:after="60"/>
              <w:jc w:val="right"/>
              <w:rPr>
                <w:rFonts w:ascii="Arial" w:eastAsia="Arial" w:hAnsi="Arial" w:cs="Arial"/>
                <w:lang w:val="en-US"/>
              </w:rPr>
            </w:pPr>
            <w:r w:rsidRPr="00F013D3">
              <w:rPr>
                <w:rFonts w:ascii="Arial" w:eastAsia="Arial" w:hAnsi="Arial" w:cs="Arial"/>
                <w:i/>
                <w:sz w:val="18"/>
                <w:szCs w:val="18"/>
                <w:lang w:val="en-US"/>
              </w:rPr>
              <w:t>D’après Nicholson, Sweeney and al, 2018</w:t>
            </w:r>
          </w:p>
        </w:tc>
        <w:tc>
          <w:tcPr>
            <w:tcW w:w="6849" w:type="dxa"/>
            <w:tcBorders>
              <w:top w:val="single" w:sz="4" w:space="0" w:color="000000"/>
              <w:left w:val="single" w:sz="4" w:space="0" w:color="000000"/>
              <w:bottom w:val="single" w:sz="4" w:space="0" w:color="000000"/>
              <w:right w:val="single" w:sz="4" w:space="0" w:color="000000"/>
            </w:tcBorders>
          </w:tcPr>
          <w:p w14:paraId="47C54812" w14:textId="77777777" w:rsidR="00CF402D" w:rsidRDefault="00000000">
            <w:pPr>
              <w:widowControl w:val="0"/>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Mode d’action du GABA sur son récepteur :</w:t>
            </w:r>
          </w:p>
          <w:p w14:paraId="766AADA2" w14:textId="77777777" w:rsidR="00CF402D" w:rsidRDefault="00000000">
            <w:pPr>
              <w:widowControl w:val="0"/>
              <w:pBdr>
                <w:top w:val="nil"/>
                <w:left w:val="nil"/>
                <w:bottom w:val="nil"/>
                <w:right w:val="nil"/>
                <w:between w:val="nil"/>
              </w:pBdr>
              <w:spacing w:after="120"/>
              <w:jc w:val="right"/>
              <w:rPr>
                <w:rFonts w:ascii="Arial" w:eastAsia="Arial" w:hAnsi="Arial" w:cs="Arial"/>
                <w:i/>
                <w:color w:val="000000"/>
              </w:rPr>
            </w:pPr>
            <w:r>
              <w:rPr>
                <w:rFonts w:ascii="Calibri" w:eastAsia="Calibri" w:hAnsi="Calibri" w:cs="Calibri"/>
                <w:noProof/>
                <w:color w:val="000000"/>
              </w:rPr>
              <w:drawing>
                <wp:inline distT="0" distB="0" distL="0" distR="0" wp14:anchorId="51E63AD3" wp14:editId="086B828E">
                  <wp:extent cx="4008595" cy="531509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9081"/>
                          <a:stretch>
                            <a:fillRect/>
                          </a:stretch>
                        </pic:blipFill>
                        <pic:spPr>
                          <a:xfrm>
                            <a:off x="0" y="0"/>
                            <a:ext cx="4008595" cy="5315090"/>
                          </a:xfrm>
                          <a:prstGeom prst="rect">
                            <a:avLst/>
                          </a:prstGeom>
                          <a:ln/>
                        </pic:spPr>
                      </pic:pic>
                    </a:graphicData>
                  </a:graphic>
                </wp:inline>
              </w:drawing>
            </w:r>
          </w:p>
        </w:tc>
      </w:tr>
    </w:tbl>
    <w:p w14:paraId="4B658FE0" w14:textId="77777777" w:rsidR="00CF402D" w:rsidRDefault="00CF402D">
      <w:pPr>
        <w:jc w:val="both"/>
        <w:rPr>
          <w:rFonts w:ascii="Arial" w:eastAsia="Arial" w:hAnsi="Arial" w:cs="Arial"/>
          <w:b/>
          <w:color w:val="38761D"/>
          <w:u w:val="single"/>
        </w:rPr>
      </w:pPr>
    </w:p>
    <w:p w14:paraId="124D5753" w14:textId="77777777" w:rsidR="00CF402D" w:rsidRDefault="00CF402D">
      <w:pPr>
        <w:jc w:val="both"/>
        <w:rPr>
          <w:rFonts w:ascii="Arial" w:eastAsia="Arial" w:hAnsi="Arial" w:cs="Arial"/>
          <w:b/>
          <w:color w:val="38761D"/>
          <w:u w:val="single"/>
        </w:rPr>
      </w:pPr>
    </w:p>
    <w:p w14:paraId="3C1BC18D" w14:textId="77777777" w:rsidR="00CF402D" w:rsidRDefault="00000000">
      <w:pPr>
        <w:jc w:val="both"/>
        <w:rPr>
          <w:rFonts w:ascii="Arial" w:eastAsia="Arial" w:hAnsi="Arial" w:cs="Arial"/>
          <w:b/>
          <w:color w:val="38761D"/>
          <w:u w:val="single"/>
        </w:rPr>
      </w:pPr>
      <w:r>
        <w:rPr>
          <w:rFonts w:ascii="Arial" w:eastAsia="Arial" w:hAnsi="Arial" w:cs="Arial"/>
          <w:b/>
          <w:color w:val="38761D"/>
          <w:u w:val="single"/>
        </w:rPr>
        <w:t>ÉTAPE A (manip) :</w:t>
      </w:r>
    </w:p>
    <w:p w14:paraId="0FDD131F" w14:textId="77777777" w:rsidR="00CF402D" w:rsidRDefault="00CF402D">
      <w:pPr>
        <w:jc w:val="both"/>
        <w:rPr>
          <w:rFonts w:ascii="Arial" w:eastAsia="Arial" w:hAnsi="Arial" w:cs="Arial"/>
          <w:b/>
          <w:color w:val="38761D"/>
          <w:u w:val="single"/>
        </w:rPr>
      </w:pPr>
    </w:p>
    <w:p w14:paraId="2F333805" w14:textId="77777777" w:rsidR="00CF402D" w:rsidRDefault="00000000">
      <w:pPr>
        <w:numPr>
          <w:ilvl w:val="0"/>
          <w:numId w:val="5"/>
        </w:numPr>
        <w:jc w:val="both"/>
        <w:rPr>
          <w:rFonts w:ascii="Arial" w:eastAsia="Arial" w:hAnsi="Arial" w:cs="Arial"/>
          <w:color w:val="38761D"/>
        </w:rPr>
      </w:pPr>
      <w:r>
        <w:rPr>
          <w:rFonts w:ascii="Arial" w:eastAsia="Arial" w:hAnsi="Arial" w:cs="Arial"/>
          <w:color w:val="38761D"/>
        </w:rPr>
        <w:t xml:space="preserve">Réalisation et observation au microscope optique d’un montage lame-lamelle d’une tranche de cervelle colorée au bleu de méthylène </w:t>
      </w:r>
    </w:p>
    <w:p w14:paraId="5AF8F4A7" w14:textId="77777777" w:rsidR="00CF402D" w:rsidRDefault="00CF402D">
      <w:pPr>
        <w:ind w:left="720"/>
        <w:jc w:val="both"/>
        <w:rPr>
          <w:rFonts w:ascii="Arial" w:eastAsia="Arial" w:hAnsi="Arial" w:cs="Arial"/>
          <w:color w:val="38761D"/>
        </w:rPr>
      </w:pPr>
    </w:p>
    <w:p w14:paraId="1BCE8688" w14:textId="77777777" w:rsidR="00CF402D" w:rsidRDefault="00000000">
      <w:pPr>
        <w:numPr>
          <w:ilvl w:val="0"/>
          <w:numId w:val="5"/>
        </w:numPr>
        <w:jc w:val="both"/>
        <w:rPr>
          <w:rFonts w:ascii="Arial" w:eastAsia="Arial" w:hAnsi="Arial" w:cs="Arial"/>
          <w:color w:val="38761D"/>
        </w:rPr>
      </w:pPr>
      <w:r>
        <w:rPr>
          <w:rFonts w:ascii="Arial" w:eastAsia="Arial" w:hAnsi="Arial" w:cs="Arial"/>
          <w:color w:val="38761D"/>
        </w:rPr>
        <w:t>Étude du modèle moléculaire sur Libmol du récepteur GABA</w:t>
      </w:r>
    </w:p>
    <w:p w14:paraId="5D0BDD68" w14:textId="77777777" w:rsidR="00CF402D" w:rsidRDefault="00CF402D">
      <w:pPr>
        <w:jc w:val="both"/>
        <w:rPr>
          <w:rFonts w:ascii="Arial" w:eastAsia="Arial" w:hAnsi="Arial" w:cs="Arial"/>
          <w:b/>
          <w:color w:val="38761D"/>
          <w:u w:val="single"/>
        </w:rPr>
      </w:pPr>
    </w:p>
    <w:p w14:paraId="2B39BBFE" w14:textId="77777777" w:rsidR="00CF402D" w:rsidRDefault="00000000">
      <w:pPr>
        <w:jc w:val="both"/>
        <w:rPr>
          <w:rFonts w:ascii="Arial" w:eastAsia="Arial" w:hAnsi="Arial" w:cs="Arial"/>
          <w:color w:val="38761D"/>
        </w:rPr>
      </w:pPr>
      <w:r>
        <w:rPr>
          <w:rFonts w:ascii="Arial" w:eastAsia="Arial" w:hAnsi="Arial" w:cs="Arial"/>
          <w:b/>
          <w:color w:val="38761D"/>
          <w:u w:val="single"/>
        </w:rPr>
        <w:t>ÉTAPE B1 :</w:t>
      </w:r>
      <w:r>
        <w:rPr>
          <w:rFonts w:ascii="Arial" w:eastAsia="Arial" w:hAnsi="Arial" w:cs="Arial"/>
          <w:color w:val="38761D"/>
        </w:rPr>
        <w:t xml:space="preserve"> </w:t>
      </w:r>
    </w:p>
    <w:p w14:paraId="60EDD79D" w14:textId="77777777" w:rsidR="00CF402D" w:rsidRDefault="00000000">
      <w:pPr>
        <w:jc w:val="both"/>
        <w:rPr>
          <w:rFonts w:ascii="Arial" w:eastAsia="Arial" w:hAnsi="Arial" w:cs="Arial"/>
          <w:b/>
          <w:color w:val="38761D"/>
          <w:u w:val="single"/>
        </w:rPr>
      </w:pPr>
      <w:r>
        <w:rPr>
          <w:noProof/>
        </w:rPr>
        <w:drawing>
          <wp:anchor distT="114300" distB="114300" distL="114300" distR="114300" simplePos="0" relativeHeight="251658240" behindDoc="0" locked="0" layoutInCell="1" hidden="0" allowOverlap="1" wp14:anchorId="1F7C3A29" wp14:editId="7BCFEFB0">
            <wp:simplePos x="0" y="0"/>
            <wp:positionH relativeFrom="column">
              <wp:posOffset>1</wp:posOffset>
            </wp:positionH>
            <wp:positionV relativeFrom="paragraph">
              <wp:posOffset>184919</wp:posOffset>
            </wp:positionV>
            <wp:extent cx="4129088" cy="4425388"/>
            <wp:effectExtent l="0" t="0" r="0" b="0"/>
            <wp:wrapTopAndBottom distT="114300" distB="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129088" cy="4425388"/>
                    </a:xfrm>
                    <a:prstGeom prst="rect">
                      <a:avLst/>
                    </a:prstGeom>
                    <a:ln/>
                  </pic:spPr>
                </pic:pic>
              </a:graphicData>
            </a:graphic>
          </wp:anchor>
        </w:drawing>
      </w:r>
    </w:p>
    <w:p w14:paraId="1F7581CC" w14:textId="77777777" w:rsidR="00CF402D" w:rsidRDefault="00CF402D">
      <w:pPr>
        <w:jc w:val="both"/>
        <w:rPr>
          <w:rFonts w:ascii="Arial" w:eastAsia="Arial" w:hAnsi="Arial" w:cs="Arial"/>
          <w:color w:val="38761D"/>
        </w:rPr>
      </w:pPr>
    </w:p>
    <w:p w14:paraId="7A0127D4" w14:textId="77777777" w:rsidR="00CF402D" w:rsidRDefault="00CF402D">
      <w:pPr>
        <w:jc w:val="both"/>
        <w:rPr>
          <w:rFonts w:ascii="Arial" w:eastAsia="Arial" w:hAnsi="Arial" w:cs="Arial"/>
          <w:color w:val="38761D"/>
        </w:rPr>
      </w:pPr>
    </w:p>
    <w:p w14:paraId="1961DD1D" w14:textId="77777777" w:rsidR="00CF402D" w:rsidRDefault="00000000">
      <w:pPr>
        <w:jc w:val="both"/>
        <w:rPr>
          <w:rFonts w:ascii="Arial" w:eastAsia="Arial" w:hAnsi="Arial" w:cs="Arial"/>
          <w:b/>
          <w:color w:val="38761D"/>
          <w:u w:val="single"/>
        </w:rPr>
      </w:pPr>
      <w:r>
        <w:rPr>
          <w:rFonts w:ascii="Arial" w:eastAsia="Arial" w:hAnsi="Arial" w:cs="Arial"/>
          <w:b/>
          <w:color w:val="38761D"/>
          <w:u w:val="single"/>
        </w:rPr>
        <w:t>RESSOURCE COMPLÉMENTAIRE</w:t>
      </w:r>
    </w:p>
    <w:p w14:paraId="5A6C66FE" w14:textId="77777777" w:rsidR="00CF402D" w:rsidRDefault="00CF402D">
      <w:pPr>
        <w:jc w:val="both"/>
        <w:rPr>
          <w:rFonts w:ascii="Arial" w:eastAsia="Arial" w:hAnsi="Arial" w:cs="Arial"/>
          <w:b/>
          <w:color w:val="38761D"/>
          <w:u w:val="single"/>
        </w:rPr>
      </w:pPr>
    </w:p>
    <w:p w14:paraId="0BB806BA" w14:textId="77777777" w:rsidR="00CF402D" w:rsidRDefault="00000000">
      <w:pPr>
        <w:jc w:val="both"/>
        <w:rPr>
          <w:rFonts w:ascii="Arial" w:eastAsia="Arial" w:hAnsi="Arial" w:cs="Arial"/>
          <w:b/>
          <w:color w:val="38761D"/>
          <w:u w:val="single"/>
        </w:rPr>
      </w:pPr>
      <w:r>
        <w:rPr>
          <w:rFonts w:ascii="Arial" w:eastAsia="Arial" w:hAnsi="Arial" w:cs="Arial"/>
          <w:b/>
          <w:color w:val="38761D"/>
          <w:u w:val="single"/>
        </w:rPr>
        <w:t>ÉTAPE B2 :</w:t>
      </w:r>
    </w:p>
    <w:p w14:paraId="2DE6C8FD" w14:textId="77777777" w:rsidR="00CF402D" w:rsidRDefault="00CF402D">
      <w:pPr>
        <w:jc w:val="both"/>
        <w:rPr>
          <w:rFonts w:ascii="Arial" w:eastAsia="Arial" w:hAnsi="Arial" w:cs="Arial"/>
          <w:b/>
          <w:color w:val="38761D"/>
          <w:u w:val="single"/>
        </w:rPr>
      </w:pPr>
    </w:p>
    <w:p w14:paraId="09B96D54" w14:textId="77777777" w:rsidR="00CF402D" w:rsidRDefault="00000000">
      <w:pPr>
        <w:numPr>
          <w:ilvl w:val="0"/>
          <w:numId w:val="7"/>
        </w:numPr>
        <w:jc w:val="both"/>
        <w:rPr>
          <w:rFonts w:ascii="Arial" w:eastAsia="Arial" w:hAnsi="Arial" w:cs="Arial"/>
          <w:color w:val="38761D"/>
        </w:rPr>
      </w:pPr>
      <w:r>
        <w:rPr>
          <w:rFonts w:ascii="Arial" w:eastAsia="Arial" w:hAnsi="Arial" w:cs="Arial"/>
          <w:b/>
          <w:color w:val="38761D"/>
          <w:u w:val="single"/>
        </w:rPr>
        <w:t xml:space="preserve">Je vois que : </w:t>
      </w:r>
      <w:r>
        <w:rPr>
          <w:rFonts w:ascii="Arial" w:eastAsia="Arial" w:hAnsi="Arial" w:cs="Arial"/>
          <w:color w:val="38761D"/>
        </w:rPr>
        <w:t>On a pu voir, avec l’observation microscopique d’une coupe de cervelle colorée au bleu de méthylène, que la cervelle est composée de corps cellulaires reliés par des dendrites, l’ensemble formant des neurones cérébraux. On a pu voir aussi, avec la modélisation moléculaire du récepteur GABA, que 2 molécules de GABA se fixent sur le récepteur et que 3 molécules de diazépam se fixent sur le récepteur.</w:t>
      </w:r>
    </w:p>
    <w:p w14:paraId="29A3D3B5" w14:textId="77777777" w:rsidR="00CF402D" w:rsidRDefault="00CF402D">
      <w:pPr>
        <w:jc w:val="both"/>
        <w:rPr>
          <w:rFonts w:ascii="Arial" w:eastAsia="Arial" w:hAnsi="Arial" w:cs="Arial"/>
          <w:color w:val="38761D"/>
        </w:rPr>
      </w:pPr>
    </w:p>
    <w:p w14:paraId="0CFD9655" w14:textId="77777777" w:rsidR="00CF402D" w:rsidRDefault="00000000">
      <w:pPr>
        <w:numPr>
          <w:ilvl w:val="0"/>
          <w:numId w:val="6"/>
        </w:numPr>
        <w:jc w:val="both"/>
        <w:rPr>
          <w:rFonts w:ascii="Arial" w:eastAsia="Arial" w:hAnsi="Arial" w:cs="Arial"/>
          <w:color w:val="38761D"/>
        </w:rPr>
      </w:pPr>
      <w:r>
        <w:rPr>
          <w:rFonts w:ascii="Arial" w:eastAsia="Arial" w:hAnsi="Arial" w:cs="Arial"/>
          <w:b/>
          <w:color w:val="38761D"/>
          <w:u w:val="single"/>
        </w:rPr>
        <w:t>Je sais que :</w:t>
      </w:r>
      <w:r>
        <w:rPr>
          <w:rFonts w:ascii="Arial" w:eastAsia="Arial" w:hAnsi="Arial" w:cs="Arial"/>
          <w:color w:val="38761D"/>
        </w:rPr>
        <w:t xml:space="preserve"> La technique d’immunohistochimie, qui marque des anticorps anti-récepteurs GABA, par un système fluorescent, qui vont ensuite se fixer sur les récepteurs GABA, permet de situer les récepteurs GABA au niveau des dendrites. On sait aussi que lorsque les molécules GABA se fixent sur le récepteur GABA, celui-ci permet le passage des ions chlorures qui amène ensuite à l’inhibition du neurone. Tandis que quand il n’y a pas de molécules de GABA, les ions chlorures n’entrent pas et il n’y a pas d’inhibition, donc le neurone fonctionne normalement.</w:t>
      </w:r>
    </w:p>
    <w:p w14:paraId="777CEA9B" w14:textId="77777777" w:rsidR="00CF402D" w:rsidRDefault="00CF402D">
      <w:pPr>
        <w:jc w:val="both"/>
        <w:rPr>
          <w:rFonts w:ascii="Arial" w:eastAsia="Arial" w:hAnsi="Arial" w:cs="Arial"/>
          <w:color w:val="38761D"/>
        </w:rPr>
      </w:pPr>
    </w:p>
    <w:p w14:paraId="0E413133" w14:textId="77777777" w:rsidR="00CF402D" w:rsidRDefault="00000000">
      <w:pPr>
        <w:numPr>
          <w:ilvl w:val="0"/>
          <w:numId w:val="4"/>
        </w:numPr>
        <w:jc w:val="both"/>
        <w:rPr>
          <w:rFonts w:ascii="Arial" w:eastAsia="Arial" w:hAnsi="Arial" w:cs="Arial"/>
          <w:color w:val="38761D"/>
        </w:rPr>
      </w:pPr>
      <w:r>
        <w:rPr>
          <w:rFonts w:ascii="Arial" w:eastAsia="Arial" w:hAnsi="Arial" w:cs="Arial"/>
          <w:b/>
          <w:color w:val="38761D"/>
          <w:u w:val="single"/>
        </w:rPr>
        <w:t>Je peux donc en conclure que :</w:t>
      </w:r>
      <w:r>
        <w:rPr>
          <w:rFonts w:ascii="Arial" w:eastAsia="Arial" w:hAnsi="Arial" w:cs="Arial"/>
          <w:color w:val="38761D"/>
        </w:rPr>
        <w:t xml:space="preserve"> Au niveau des dendrites, les molécules de diazépam, comme celle de GABA, se fixent au niveau du récepteur GABA et permettent l’entrée des ions chlorures et l’inhibition du neurone. Ainsi, le diazépam participe à la diminution des symptômes d’anxiété liés au stress chronique en jouant le rôle d’agoniste au GABA. Ainsi, il joue le même rôle que le GABA en utilisant la même voie pour diminuer les symptômes d’anxiété. </w:t>
      </w:r>
    </w:p>
    <w:p w14:paraId="760932C9" w14:textId="77777777" w:rsidR="00CF402D" w:rsidRDefault="00CF402D">
      <w:pPr>
        <w:jc w:val="both"/>
        <w:rPr>
          <w:rFonts w:ascii="Arial" w:eastAsia="Arial" w:hAnsi="Arial" w:cs="Arial"/>
          <w:color w:val="38761D"/>
        </w:rPr>
      </w:pPr>
    </w:p>
    <w:p w14:paraId="59EE513D" w14:textId="77777777" w:rsidR="00CF402D" w:rsidRDefault="00000000">
      <w:pPr>
        <w:numPr>
          <w:ilvl w:val="0"/>
          <w:numId w:val="10"/>
        </w:numPr>
        <w:jc w:val="both"/>
        <w:rPr>
          <w:rFonts w:ascii="Arial" w:eastAsia="Arial" w:hAnsi="Arial" w:cs="Arial"/>
          <w:color w:val="38761D"/>
        </w:rPr>
      </w:pPr>
      <w:r>
        <w:rPr>
          <w:rFonts w:ascii="Arial" w:eastAsia="Arial" w:hAnsi="Arial" w:cs="Arial"/>
          <w:b/>
          <w:color w:val="38761D"/>
          <w:u w:val="single"/>
        </w:rPr>
        <w:t>Distanciation :</w:t>
      </w:r>
      <w:r>
        <w:rPr>
          <w:rFonts w:ascii="Arial" w:eastAsia="Arial" w:hAnsi="Arial" w:cs="Arial"/>
          <w:color w:val="38761D"/>
        </w:rPr>
        <w:t xml:space="preserve"> On pourrait prendre l’exemple du buspirone qui permet de traiter l’anxiété en augmentant l’efficacité des récepteurs de sérotonine.</w:t>
      </w:r>
    </w:p>
    <w:p w14:paraId="26AF73B1" w14:textId="77777777" w:rsidR="00CF402D" w:rsidRDefault="00CF402D">
      <w:pPr>
        <w:rPr>
          <w:rFonts w:ascii="Arial" w:eastAsia="Arial" w:hAnsi="Arial" w:cs="Arial"/>
        </w:rPr>
      </w:pPr>
    </w:p>
    <w:sectPr w:rsidR="00CF402D">
      <w:headerReference w:type="even" r:id="rId14"/>
      <w:headerReference w:type="default" r:id="rId15"/>
      <w:footerReference w:type="default" r:id="rId16"/>
      <w:headerReference w:type="first" r:id="rId17"/>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8059C" w14:textId="77777777" w:rsidR="002F32AA" w:rsidRDefault="002F32AA">
      <w:r>
        <w:separator/>
      </w:r>
    </w:p>
  </w:endnote>
  <w:endnote w:type="continuationSeparator" w:id="0">
    <w:p w14:paraId="71B8F4D8" w14:textId="77777777" w:rsidR="002F32AA" w:rsidRDefault="002F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8CBEB3-E19A-4852-9740-F93DEBCE76D0}"/>
  </w:font>
  <w:font w:name="Calibri">
    <w:panose1 w:val="020F0502020204030204"/>
    <w:charset w:val="00"/>
    <w:family w:val="swiss"/>
    <w:pitch w:val="variable"/>
    <w:sig w:usb0="E4002EFF" w:usb1="C200247B" w:usb2="00000009" w:usb3="00000000" w:csb0="000001FF" w:csb1="00000000"/>
    <w:embedRegular r:id="rId2" w:fontKey="{61B77C6E-C8C6-4C9D-97A5-D84BA8E77C51}"/>
    <w:embedBold r:id="rId3" w:fontKey="{E9118706-D541-4DFB-BF5D-C1A1F95EBC35}"/>
    <w:embedItalic r:id="rId4" w:fontKey="{01CBBABE-A1AE-4FDA-A36A-7360869BD0EC}"/>
  </w:font>
  <w:font w:name="Cambria">
    <w:panose1 w:val="02040503050406030204"/>
    <w:charset w:val="00"/>
    <w:family w:val="roman"/>
    <w:pitch w:val="variable"/>
    <w:sig w:usb0="E00006FF" w:usb1="420024FF" w:usb2="02000000" w:usb3="00000000" w:csb0="0000019F" w:csb1="00000000"/>
    <w:embedRegular r:id="rId5" w:fontKey="{EB0FC824-A030-4F62-B8A0-F273434AA87C}"/>
    <w:embedItalic r:id="rId6" w:fontKey="{873B6CED-9FE2-4258-8CCB-886016EFD894}"/>
  </w:font>
  <w:font w:name="Carlito">
    <w:panose1 w:val="020F0502020204030204"/>
    <w:charset w:val="00"/>
    <w:family w:val="swiss"/>
    <w:pitch w:val="variable"/>
    <w:sig w:usb0="E10002FF" w:usb1="5000ECFF" w:usb2="00000009" w:usb3="00000000" w:csb0="0000019F" w:csb1="00000000"/>
    <w:embedRegular r:id="rId7" w:fontKey="{4231B03C-80B5-4AB9-9B63-95C0F1C450BB}"/>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8" w:fontKey="{AA37892F-FCEC-4E25-9817-9E02ECD03C5A}"/>
    <w:embedItalic r:id="rId9" w:fontKey="{A5E5E454-0737-4CFA-BEEA-D97B7D1A5FDE}"/>
  </w:font>
  <w:font w:name="OpenSymbol">
    <w:panose1 w:val="05010000000000000000"/>
    <w:charset w:val="00"/>
    <w:family w:val="auto"/>
    <w:pitch w:val="variable"/>
    <w:sig w:usb0="800000AF" w:usb1="1001ECEA" w:usb2="00000000" w:usb3="00000000" w:csb0="80000001" w:csb1="00000000"/>
    <w:embedRegular r:id="rId10" w:fontKey="{D1C60EF3-C7BC-4BC4-B96E-210F55C9FBDF}"/>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1" w:fontKey="{9A3868E7-5D66-4FB5-B33F-67343E96FE06}"/>
  </w:font>
  <w:font w:name="Mangal">
    <w:panose1 w:val="00000400000000000000"/>
    <w:charset w:val="00"/>
    <w:family w:val="roman"/>
    <w:pitch w:val="variable"/>
    <w:sig w:usb0="00008003" w:usb1="00000000" w:usb2="00000000" w:usb3="00000000" w:csb0="00000001" w:csb1="00000000"/>
    <w:embedRegular r:id="rId12" w:fontKey="{AA7E61EF-05CB-41F3-822A-153BBE45A452}"/>
    <w:embedItalic r:id="rId13" w:fontKey="{58583487-8D73-4EF0-ACF4-AC4B07E45DC4}"/>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4" w:fontKey="{4BC88179-3225-46FF-AEC7-B43DCB79F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04D1B" w14:textId="160FF47F" w:rsidR="00CF402D" w:rsidRDefault="00CF402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44D43" w14:textId="77777777" w:rsidR="002F32AA" w:rsidRDefault="002F32AA">
      <w:r>
        <w:separator/>
      </w:r>
    </w:p>
  </w:footnote>
  <w:footnote w:type="continuationSeparator" w:id="0">
    <w:p w14:paraId="1948FA36" w14:textId="77777777" w:rsidR="002F32AA" w:rsidRDefault="002F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4DAF5" w14:textId="77777777" w:rsidR="00CF402D" w:rsidRDefault="00CF402D">
    <w:pPr>
      <w:pBdr>
        <w:top w:val="nil"/>
        <w:left w:val="nil"/>
        <w:bottom w:val="nil"/>
        <w:right w:val="nil"/>
        <w:between w:val="nil"/>
      </w:pBdr>
      <w:jc w:val="center"/>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3D3A4" w14:textId="77777777" w:rsidR="00CF402D" w:rsidRDefault="00000000">
    <w:pPr>
      <w:pBdr>
        <w:top w:val="nil"/>
        <w:left w:val="nil"/>
        <w:bottom w:val="nil"/>
        <w:right w:val="nil"/>
        <w:between w:val="nil"/>
      </w:pBdr>
      <w:shd w:val="clear" w:color="auto" w:fill="FFFFFF"/>
      <w:jc w:val="center"/>
      <w:rPr>
        <w:rFonts w:ascii="Arial" w:eastAsia="Arial" w:hAnsi="Arial" w:cs="Arial"/>
        <w:b/>
        <w:color w:val="000000"/>
        <w:highlight w:val="white"/>
      </w:rPr>
    </w:pPr>
    <w:r>
      <w:rPr>
        <w:rFonts w:ascii="Arial" w:eastAsia="Arial" w:hAnsi="Arial" w:cs="Arial"/>
        <w:b/>
        <w:color w:val="000000"/>
        <w:highlight w:val="white"/>
      </w:rPr>
      <w:t>Benzodiazépines et stress chronique</w:t>
    </w:r>
    <w:r>
      <w:rPr>
        <w:noProof/>
      </w:rPr>
      <w:drawing>
        <wp:anchor distT="114300" distB="114300" distL="114300" distR="114300" simplePos="0" relativeHeight="251658240" behindDoc="0" locked="0" layoutInCell="1" hidden="0" allowOverlap="1" wp14:anchorId="6927BF17" wp14:editId="34DAB2DE">
          <wp:simplePos x="0" y="0"/>
          <wp:positionH relativeFrom="column">
            <wp:posOffset>-66674</wp:posOffset>
          </wp:positionH>
          <wp:positionV relativeFrom="paragraph">
            <wp:posOffset>-245744</wp:posOffset>
          </wp:positionV>
          <wp:extent cx="2032000" cy="58420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870B1" w14:textId="77777777" w:rsidR="00CF402D" w:rsidRDefault="00000000">
    <w:pPr>
      <w:pBdr>
        <w:top w:val="nil"/>
        <w:left w:val="nil"/>
        <w:bottom w:val="nil"/>
        <w:right w:val="nil"/>
        <w:between w:val="nil"/>
      </w:pBdr>
      <w:shd w:val="clear" w:color="auto" w:fill="FFFFFF"/>
      <w:jc w:val="center"/>
      <w:rPr>
        <w:rFonts w:ascii="Arial" w:eastAsia="Arial" w:hAnsi="Arial" w:cs="Arial"/>
        <w:b/>
        <w:color w:val="000000"/>
        <w:highlight w:val="white"/>
      </w:rPr>
    </w:pPr>
    <w:r>
      <w:rPr>
        <w:rFonts w:ascii="Arial" w:eastAsia="Arial" w:hAnsi="Arial" w:cs="Arial"/>
        <w:b/>
        <w:color w:val="000000"/>
        <w:highlight w:val="white"/>
      </w:rPr>
      <w:t>Benzodiazépines et stress chronique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7334B"/>
    <w:multiLevelType w:val="multilevel"/>
    <w:tmpl w:val="FDE25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51186"/>
    <w:multiLevelType w:val="multilevel"/>
    <w:tmpl w:val="FA623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65D99"/>
    <w:multiLevelType w:val="multilevel"/>
    <w:tmpl w:val="13146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D725C4"/>
    <w:multiLevelType w:val="multilevel"/>
    <w:tmpl w:val="15581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D13D27"/>
    <w:multiLevelType w:val="multilevel"/>
    <w:tmpl w:val="8BF48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52303D"/>
    <w:multiLevelType w:val="multilevel"/>
    <w:tmpl w:val="7FBCF2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Titre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itre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Titre9"/>
      <w:lvlText w:val="▪"/>
      <w:lvlJc w:val="left"/>
      <w:pPr>
        <w:ind w:left="6480" w:hanging="360"/>
      </w:pPr>
      <w:rPr>
        <w:rFonts w:ascii="Noto Sans Symbols" w:eastAsia="Noto Sans Symbols" w:hAnsi="Noto Sans Symbols" w:cs="Noto Sans Symbols"/>
      </w:rPr>
    </w:lvl>
  </w:abstractNum>
  <w:abstractNum w:abstractNumId="6" w15:restartNumberingAfterBreak="0">
    <w:nsid w:val="567164BF"/>
    <w:multiLevelType w:val="multilevel"/>
    <w:tmpl w:val="77AC5BC4"/>
    <w:lvl w:ilvl="0">
      <w:start w:val="1"/>
      <w:numFmt w:val="bullet"/>
      <w:lvlText w:val="-"/>
      <w:lvlJc w:val="left"/>
      <w:pPr>
        <w:ind w:left="754" w:hanging="359"/>
      </w:pPr>
      <w:rPr>
        <w:rFonts w:ascii="Calibri" w:eastAsia="Calibri" w:hAnsi="Calibri" w:cs="Calibri"/>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E701346"/>
    <w:multiLevelType w:val="multilevel"/>
    <w:tmpl w:val="46B64308"/>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590A9E"/>
    <w:multiLevelType w:val="multilevel"/>
    <w:tmpl w:val="F06290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3477A1"/>
    <w:multiLevelType w:val="multilevel"/>
    <w:tmpl w:val="38206AF6"/>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730336">
    <w:abstractNumId w:val="5"/>
  </w:num>
  <w:num w:numId="2" w16cid:durableId="1808544807">
    <w:abstractNumId w:val="8"/>
  </w:num>
  <w:num w:numId="3" w16cid:durableId="1506506772">
    <w:abstractNumId w:val="7"/>
  </w:num>
  <w:num w:numId="4" w16cid:durableId="1170221454">
    <w:abstractNumId w:val="2"/>
  </w:num>
  <w:num w:numId="5" w16cid:durableId="345375391">
    <w:abstractNumId w:val="3"/>
  </w:num>
  <w:num w:numId="6" w16cid:durableId="877862881">
    <w:abstractNumId w:val="0"/>
  </w:num>
  <w:num w:numId="7" w16cid:durableId="177743042">
    <w:abstractNumId w:val="1"/>
  </w:num>
  <w:num w:numId="8" w16cid:durableId="1981036066">
    <w:abstractNumId w:val="6"/>
  </w:num>
  <w:num w:numId="9" w16cid:durableId="1214464105">
    <w:abstractNumId w:val="9"/>
  </w:num>
  <w:num w:numId="10" w16cid:durableId="1785877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02D"/>
    <w:rsid w:val="00087522"/>
    <w:rsid w:val="002F32AA"/>
    <w:rsid w:val="00904FB7"/>
    <w:rsid w:val="00964AFE"/>
    <w:rsid w:val="00CF402D"/>
    <w:rsid w:val="00F013D3"/>
    <w:rsid w:val="00FC2F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8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AE1"/>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numPr>
        <w:ilvl w:val="4"/>
        <w:numId w:val="1"/>
      </w:numPr>
      <w:spacing w:before="200"/>
      <w:jc w:val="center"/>
      <w:outlineLvl w:val="4"/>
    </w:pPr>
    <w:rPr>
      <w:rFonts w:ascii="Cambria" w:hAnsi="Cambria" w:cs="Cambria"/>
      <w:color w:val="243F60"/>
      <w:sz w:val="22"/>
      <w:szCs w:val="22"/>
      <w:lang w:eastAsia="zh-CN"/>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jc w:val="center"/>
      <w:outlineLvl w:val="6"/>
    </w:pPr>
    <w:rPr>
      <w:lang w:eastAsia="zh-CN"/>
    </w:rPr>
  </w:style>
  <w:style w:type="paragraph" w:styleId="Titre9">
    <w:name w:val="heading 9"/>
    <w:basedOn w:val="Normal"/>
    <w:next w:val="Normal"/>
    <w:qFormat/>
    <w:pPr>
      <w:numPr>
        <w:ilvl w:val="8"/>
        <w:numId w:val="1"/>
      </w:numPr>
      <w:spacing w:before="240" w:after="60"/>
      <w:jc w:val="center"/>
      <w:outlineLvl w:val="8"/>
    </w:pPr>
    <w:rPr>
      <w:rFonts w:ascii="Arial" w:hAnsi="Arial" w:cs="Arial"/>
      <w:sz w:val="22"/>
      <w:szCs w:val="2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Carlito" w:eastAsia="Noto Sans SC Regular" w:hAnsi="Carlito" w:cs="Noto Sans Devanagari"/>
      <w:sz w:val="28"/>
      <w:szCs w:val="28"/>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cs="Calibri"/>
      <w:sz w:val="24"/>
      <w:szCs w:val="24"/>
    </w:rPr>
  </w:style>
  <w:style w:type="character" w:customStyle="1" w:styleId="WW8Num3z0">
    <w:name w:val="WW8Num3z0"/>
    <w:qFormat/>
    <w:rPr>
      <w:rFonts w:ascii="OpenSymbol" w:hAnsi="OpenSymbol" w:cs="OpenSymbol"/>
      <w:b w:val="0"/>
    </w:rPr>
  </w:style>
  <w:style w:type="character" w:customStyle="1" w:styleId="WW8Num4z0">
    <w:name w:val="WW8Num4z0"/>
    <w:qFormat/>
    <w:rPr>
      <w:rFonts w:ascii="OpenSymbol" w:hAnsi="OpenSymbol" w:cs="OpenSymbol"/>
    </w:rPr>
  </w:style>
  <w:style w:type="character" w:customStyle="1" w:styleId="WW8Num5z0">
    <w:name w:val="WW8Num5z0"/>
    <w:qFormat/>
    <w:rPr>
      <w:rFonts w:ascii="Arial" w:eastAsia="SimSun" w:hAnsi="Arial" w:cs="Aria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OpenSymbol" w:hAnsi="OpenSymbol" w:cs="OpenSymbol"/>
      <w:b w:val="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OpenSymbol" w:hAnsi="OpenSymbol" w:cs="OpenSymbol"/>
      <w:b w:val="0"/>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OpenSymbol" w:hAnsi="OpenSymbol" w:cs="OpenSymbol"/>
      <w:b w:val="0"/>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Calibri" w:eastAsia="Calibri" w:hAnsi="Calibri" w:cs="Calibri"/>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color w:val="0000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OpenSymbol" w:hAnsi="OpenSymbol" w:cs="OpenSymbol"/>
      <w:b w:val="0"/>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Arial" w:eastAsia="Calibri" w:hAnsi="Arial" w:cs="Aria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7z0">
    <w:name w:val="WW8Num17z0"/>
    <w:qFormat/>
    <w:rPr>
      <w:rFonts w:ascii="OpenSymbol" w:hAnsi="OpenSymbol" w:cs="OpenSymbol"/>
      <w:b w:val="0"/>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rPr>
      <w:rFonts w:ascii="Calibri" w:hAnsi="Calibri" w:cs="Calibri"/>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WW8Num19z0">
    <w:name w:val="WW8Num19z0"/>
    <w:qFormat/>
    <w:rPr>
      <w:rFonts w:ascii="Arial" w:eastAsia="Calibri" w:hAnsi="Arial" w:cs="Aria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OpenSymbol" w:hAnsi="OpenSymbol" w:cs="OpenSymbol"/>
      <w:b w:val="0"/>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1z0">
    <w:name w:val="WW8Num21z0"/>
    <w:qFormat/>
    <w:rPr>
      <w:rFonts w:ascii="Calibri" w:hAnsi="Calibri" w:cs="Calibri"/>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OpenSymbol" w:hAnsi="OpenSymbol" w:cs="OpenSymbol"/>
      <w:b w:val="0"/>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Arial" w:eastAsia="Calibri" w:hAnsi="Arial" w:cs="Aria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rPr>
      <w:rFonts w:ascii="Calibri" w:hAnsi="Calibri" w:cs="Calibri"/>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rPr>
      <w:rFonts w:ascii="OpenSymbol" w:hAnsi="OpenSymbol" w:cs="OpenSymbol"/>
      <w:b w:val="0"/>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Arial" w:eastAsia="Calibri" w:hAnsi="Arial" w:cs="Aria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Calibri" w:hAnsi="Calibri" w:cs="Calibri"/>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4z3">
    <w:name w:val="WW8Num34z3"/>
    <w:qFormat/>
    <w:rPr>
      <w:rFonts w:ascii="Symbol" w:hAnsi="Symbol" w:cs="Symbol"/>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Times New Roman" w:hAnsi="Times New Roman" w:cs="Times New Roman"/>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9z0">
    <w:name w:val="WW8Num39z0"/>
    <w:qFormat/>
    <w:rPr>
      <w:rFonts w:ascii="OpenSymbol" w:hAnsi="OpenSymbol" w:cs="OpenSymbol"/>
      <w:b w:val="0"/>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Symbol" w:hAnsi="Symbol" w:cs="Symbol"/>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Policepardfaut2">
    <w:name w:val="Police par défaut2"/>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1">
    <w:name w:val="WW8Num4z1"/>
    <w:qFormat/>
    <w:rPr>
      <w:rFonts w:ascii="Courier New" w:hAnsi="Courier New" w:cs="Courier New"/>
      <w:sz w:val="20"/>
    </w:rPr>
  </w:style>
  <w:style w:type="character" w:customStyle="1" w:styleId="WW8Num4z2">
    <w:name w:val="WW8Num4z2"/>
    <w:qFormat/>
    <w:rPr>
      <w:rFonts w:ascii="Wingdings" w:hAnsi="Wingdings" w:cs="Wingdings"/>
      <w:sz w:val="20"/>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Policepardfaut1">
    <w:name w:val="Police par défaut1"/>
    <w:qFormat/>
  </w:style>
  <w:style w:type="character" w:customStyle="1" w:styleId="Titre5Car">
    <w:name w:val="Titre 5 Car"/>
    <w:qFormat/>
    <w:rPr>
      <w:rFonts w:ascii="Cambria" w:hAnsi="Cambria" w:cs="Cambria"/>
      <w:color w:val="243F60"/>
    </w:rPr>
  </w:style>
  <w:style w:type="character" w:customStyle="1" w:styleId="Titre7Car">
    <w:name w:val="Titre 7 Car"/>
    <w:qFormat/>
    <w:rPr>
      <w:rFonts w:ascii="Times New Roman" w:hAnsi="Times New Roman" w:cs="Times New Roman"/>
      <w:sz w:val="24"/>
      <w:szCs w:val="24"/>
    </w:rPr>
  </w:style>
  <w:style w:type="character" w:customStyle="1" w:styleId="Titre9Car">
    <w:name w:val="Titre 9 Car"/>
    <w:qFormat/>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qFormat/>
    <w:rPr>
      <w:rFonts w:ascii="Tahoma" w:hAnsi="Tahoma" w:cs="Tahoma"/>
      <w:sz w:val="16"/>
      <w:szCs w:val="16"/>
    </w:rPr>
  </w:style>
  <w:style w:type="character" w:styleId="lev">
    <w:name w:val="Strong"/>
    <w:qFormat/>
    <w:rPr>
      <w:rFonts w:cs="Times New Roman"/>
      <w:b/>
      <w:bCs/>
    </w:rPr>
  </w:style>
  <w:style w:type="character" w:customStyle="1" w:styleId="En-tteCar">
    <w:name w:val="En-tête Car"/>
    <w:qFormat/>
    <w:rPr>
      <w:rFonts w:cs="Calibri"/>
    </w:rPr>
  </w:style>
  <w:style w:type="character" w:customStyle="1" w:styleId="PieddepageCar">
    <w:name w:val="Pied de page Car"/>
    <w:qFormat/>
    <w:rPr>
      <w:rFonts w:cs="Calibri"/>
    </w:rPr>
  </w:style>
  <w:style w:type="character" w:customStyle="1" w:styleId="TitreCar">
    <w:name w:val="Titre Car"/>
    <w:qFormat/>
    <w:rPr>
      <w:b/>
      <w:bCs/>
      <w:sz w:val="24"/>
      <w:szCs w:val="24"/>
    </w:rPr>
  </w:style>
  <w:style w:type="character" w:customStyle="1" w:styleId="Sous-titreCar">
    <w:name w:val="Sous-titre Car"/>
    <w:qFormat/>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qFormat/>
    <w:rPr>
      <w:sz w:val="16"/>
      <w:szCs w:val="16"/>
    </w:rPr>
  </w:style>
  <w:style w:type="character" w:customStyle="1" w:styleId="CommentaireCar">
    <w:name w:val="Commentaire Car"/>
    <w:qFormat/>
    <w:rPr>
      <w:rFonts w:ascii="Calibri" w:eastAsia="Calibri" w:hAnsi="Calibri" w:cs="Calibri"/>
    </w:rPr>
  </w:style>
  <w:style w:type="character" w:customStyle="1" w:styleId="ObjetducommentaireCar">
    <w:name w:val="Objet du commentaire Car"/>
    <w:qFormat/>
    <w:rPr>
      <w:rFonts w:ascii="Calibri" w:eastAsia="Calibri" w:hAnsi="Calibri" w:cs="Calibri"/>
      <w:b/>
      <w:bCs/>
    </w:rPr>
  </w:style>
  <w:style w:type="character" w:customStyle="1" w:styleId="formula">
    <w:name w:val="formula"/>
    <w:qFormat/>
    <w:rsid w:val="004B7817"/>
  </w:style>
  <w:style w:type="character" w:styleId="Accentuation">
    <w:name w:val="Emphasis"/>
    <w:uiPriority w:val="20"/>
    <w:qFormat/>
    <w:rsid w:val="004B7817"/>
    <w:rPr>
      <w:i/>
      <w:iCs/>
    </w:rPr>
  </w:style>
  <w:style w:type="character" w:styleId="Marquedecommentaire">
    <w:name w:val="annotation reference"/>
    <w:uiPriority w:val="99"/>
    <w:semiHidden/>
    <w:unhideWhenUsed/>
    <w:qFormat/>
    <w:rsid w:val="00704379"/>
    <w:rPr>
      <w:sz w:val="16"/>
      <w:szCs w:val="16"/>
    </w:rPr>
  </w:style>
  <w:style w:type="character" w:customStyle="1" w:styleId="CommentaireCar1">
    <w:name w:val="Commentaire Car1"/>
    <w:link w:val="Commentaire"/>
    <w:uiPriority w:val="99"/>
    <w:semiHidden/>
    <w:qFormat/>
    <w:rsid w:val="00704379"/>
    <w:rPr>
      <w:rFonts w:ascii="Calibri" w:eastAsia="Calibri" w:hAnsi="Calibri" w:cs="Calibri"/>
      <w:lang w:eastAsia="zh-CN"/>
    </w:rPr>
  </w:style>
  <w:style w:type="character" w:customStyle="1" w:styleId="En-tteCar1">
    <w:name w:val="En-tête Car1"/>
    <w:basedOn w:val="Policepardfaut"/>
    <w:link w:val="En-tte"/>
    <w:qFormat/>
    <w:rsid w:val="00E73F4E"/>
    <w:rPr>
      <w:rFonts w:ascii="Calibri" w:eastAsia="Calibri" w:hAnsi="Calibri" w:cs="Calibri"/>
      <w:sz w:val="22"/>
      <w:szCs w:val="22"/>
      <w:lang w:eastAsia="zh-CN"/>
    </w:rPr>
  </w:style>
  <w:style w:type="character" w:customStyle="1" w:styleId="markedcontent">
    <w:name w:val="markedcontent"/>
    <w:basedOn w:val="Policepardfaut"/>
    <w:qFormat/>
    <w:rsid w:val="004A12DA"/>
  </w:style>
  <w:style w:type="character" w:customStyle="1" w:styleId="Mentionnonrsolue1">
    <w:name w:val="Mention non résolue1"/>
    <w:basedOn w:val="Policepardfaut"/>
    <w:uiPriority w:val="99"/>
    <w:semiHidden/>
    <w:unhideWhenUsed/>
    <w:qFormat/>
    <w:rsid w:val="00D034C2"/>
    <w:rPr>
      <w:color w:val="605E5C"/>
      <w:shd w:val="clear" w:color="auto" w:fill="E1DFDD"/>
    </w:rPr>
  </w:style>
  <w:style w:type="character" w:customStyle="1" w:styleId="citation-modalright-copy-text-link">
    <w:name w:val="citation-modal__right-copy-text-link"/>
    <w:basedOn w:val="Policepardfaut"/>
    <w:qFormat/>
    <w:rsid w:val="005F218E"/>
  </w:style>
  <w:style w:type="character" w:customStyle="1" w:styleId="Mentionnonrsolue2">
    <w:name w:val="Mention non résolue2"/>
    <w:basedOn w:val="Policepardfaut"/>
    <w:uiPriority w:val="99"/>
    <w:semiHidden/>
    <w:unhideWhenUsed/>
    <w:qFormat/>
    <w:rsid w:val="009834F4"/>
    <w:rPr>
      <w:color w:val="605E5C"/>
      <w:shd w:val="clear" w:color="auto" w:fill="E1DFDD"/>
    </w:rPr>
  </w:style>
  <w:style w:type="character" w:styleId="Numrodeligne">
    <w:name w:val="line number"/>
  </w:style>
  <w:style w:type="paragraph" w:styleId="Corpsdetexte">
    <w:name w:val="Body Text"/>
    <w:basedOn w:val="Normal"/>
    <w:pPr>
      <w:spacing w:after="120"/>
      <w:jc w:val="center"/>
    </w:pPr>
    <w:rPr>
      <w:rFonts w:ascii="Calibri" w:eastAsia="Calibri" w:hAnsi="Calibri" w:cs="Calibri"/>
      <w:sz w:val="22"/>
      <w:szCs w:val="22"/>
      <w:lang w:eastAsia="zh-CN"/>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jc w:val="center"/>
    </w:pPr>
    <w:rPr>
      <w:rFonts w:ascii="Calibri" w:eastAsia="Calibri" w:hAnsi="Calibri" w:cs="Mangal"/>
      <w:sz w:val="22"/>
      <w:szCs w:val="22"/>
      <w:lang w:eastAsia="zh-CN"/>
    </w:rPr>
  </w:style>
  <w:style w:type="paragraph" w:customStyle="1" w:styleId="Titre20">
    <w:name w:val="Titre2"/>
    <w:basedOn w:val="Normal"/>
    <w:next w:val="Sous-titre"/>
    <w:qFormat/>
    <w:pPr>
      <w:jc w:val="center"/>
    </w:pPr>
    <w:rPr>
      <w:b/>
      <w:bCs/>
      <w:lang w:val="x-none" w:eastAsia="zh-CN"/>
    </w:rPr>
  </w:style>
  <w:style w:type="paragraph" w:customStyle="1" w:styleId="caption1">
    <w:name w:val="caption1"/>
    <w:basedOn w:val="Normal"/>
    <w:qFormat/>
    <w:pPr>
      <w:suppressLineNumbers/>
      <w:spacing w:before="120" w:after="120"/>
      <w:jc w:val="center"/>
    </w:pPr>
    <w:rPr>
      <w:rFonts w:ascii="Calibri" w:eastAsia="Calibri" w:hAnsi="Calibri" w:cs="Arial"/>
      <w:i/>
      <w:iCs/>
      <w:lang w:eastAsia="zh-CN"/>
    </w:rPr>
  </w:style>
  <w:style w:type="paragraph" w:customStyle="1" w:styleId="Titre10">
    <w:name w:val="Titre1"/>
    <w:basedOn w:val="Normal"/>
    <w:next w:val="Corpsdetexte"/>
    <w:qFormat/>
    <w:pPr>
      <w:keepNext/>
      <w:spacing w:before="240" w:after="120"/>
      <w:jc w:val="center"/>
    </w:pPr>
    <w:rPr>
      <w:rFonts w:ascii="Arial" w:eastAsia="SimSun" w:hAnsi="Arial" w:cs="Mangal"/>
      <w:sz w:val="28"/>
      <w:szCs w:val="28"/>
      <w:lang w:eastAsia="zh-CN"/>
    </w:rPr>
  </w:style>
  <w:style w:type="paragraph" w:customStyle="1" w:styleId="Lgende1">
    <w:name w:val="Légende1"/>
    <w:basedOn w:val="Normal"/>
    <w:qFormat/>
    <w:pPr>
      <w:suppressLineNumbers/>
      <w:spacing w:before="120" w:after="120"/>
      <w:jc w:val="center"/>
    </w:pPr>
    <w:rPr>
      <w:rFonts w:ascii="Calibri" w:eastAsia="Calibri" w:hAnsi="Calibri" w:cs="Mangal"/>
      <w:i/>
      <w:iCs/>
      <w:lang w:eastAsia="zh-CN"/>
    </w:rPr>
  </w:style>
  <w:style w:type="paragraph" w:customStyle="1" w:styleId="Grilleclaire-Accent31">
    <w:name w:val="Grille claire - Accent 31"/>
    <w:basedOn w:val="Normal"/>
    <w:qFormat/>
    <w:pPr>
      <w:ind w:left="720"/>
      <w:jc w:val="center"/>
    </w:pPr>
    <w:rPr>
      <w:rFonts w:ascii="Calibri" w:eastAsia="Calibri" w:hAnsi="Calibri" w:cs="Calibri"/>
      <w:sz w:val="22"/>
      <w:szCs w:val="22"/>
      <w:lang w:eastAsia="zh-CN"/>
    </w:rPr>
  </w:style>
  <w:style w:type="paragraph" w:styleId="Textedebulles">
    <w:name w:val="Balloon Text"/>
    <w:basedOn w:val="Normal"/>
    <w:qFormat/>
    <w:pPr>
      <w:jc w:val="center"/>
    </w:pPr>
    <w:rPr>
      <w:rFonts w:ascii="Tahoma" w:eastAsia="Calibri" w:hAnsi="Tahoma" w:cs="Tahoma"/>
      <w:sz w:val="16"/>
      <w:szCs w:val="16"/>
      <w:lang w:eastAsia="zh-CN"/>
    </w:rPr>
  </w:style>
  <w:style w:type="paragraph" w:styleId="NormalWeb">
    <w:name w:val="Normal (Web)"/>
    <w:basedOn w:val="Normal"/>
    <w:uiPriority w:val="99"/>
    <w:qFormat/>
    <w:pPr>
      <w:spacing w:before="280" w:after="280"/>
      <w:jc w:val="center"/>
    </w:pPr>
    <w:rPr>
      <w:lang w:eastAsia="zh-CN"/>
    </w:rPr>
  </w:style>
  <w:style w:type="paragraph" w:customStyle="1" w:styleId="Corpsdetexte31">
    <w:name w:val="Corps de texte 31"/>
    <w:basedOn w:val="Normal"/>
    <w:qFormat/>
    <w:pPr>
      <w:jc w:val="center"/>
    </w:pPr>
    <w:rPr>
      <w:sz w:val="22"/>
      <w:szCs w:val="22"/>
      <w:lang w:eastAsia="zh-CN"/>
    </w:rPr>
  </w:style>
  <w:style w:type="paragraph" w:styleId="Sansinterligne">
    <w:name w:val="No Spacing"/>
    <w:qFormat/>
    <w:pPr>
      <w:jc w:val="center"/>
    </w:pPr>
    <w:rPr>
      <w:rFonts w:ascii="Calibri" w:eastAsia="Calibri" w:hAnsi="Calibri" w:cs="Calibri"/>
      <w:sz w:val="22"/>
      <w:szCs w:val="22"/>
      <w:lang w:eastAsia="zh-CN"/>
    </w:rPr>
  </w:style>
  <w:style w:type="paragraph" w:customStyle="1" w:styleId="WW-Standard">
    <w:name w:val="WW-Standard"/>
    <w:qFormat/>
    <w:pPr>
      <w:widowControl w:val="0"/>
      <w:jc w:val="center"/>
    </w:pPr>
    <w:rPr>
      <w:rFonts w:ascii="Calibri" w:eastAsia="Calibri" w:hAnsi="Calibri" w:cs="Calibri"/>
      <w:kern w:val="2"/>
      <w:lang w:val="de-DE" w:eastAsia="zh-CN"/>
    </w:rPr>
  </w:style>
  <w:style w:type="paragraph" w:customStyle="1" w:styleId="En-tteetpieddepage">
    <w:name w:val="En-tête et pied de page"/>
    <w:basedOn w:val="Normal"/>
    <w:qFormat/>
  </w:style>
  <w:style w:type="paragraph" w:styleId="En-tte">
    <w:name w:val="header"/>
    <w:basedOn w:val="Normal"/>
    <w:link w:val="En-tteCar1"/>
    <w:pPr>
      <w:jc w:val="center"/>
    </w:pPr>
    <w:rPr>
      <w:rFonts w:ascii="Calibri" w:eastAsia="Calibri" w:hAnsi="Calibri" w:cs="Calibri"/>
      <w:sz w:val="22"/>
      <w:szCs w:val="22"/>
      <w:lang w:eastAsia="zh-CN"/>
    </w:rPr>
  </w:style>
  <w:style w:type="paragraph" w:styleId="Pieddepage">
    <w:name w:val="footer"/>
    <w:basedOn w:val="Normal"/>
    <w:pPr>
      <w:jc w:val="center"/>
    </w:pPr>
    <w:rPr>
      <w:rFonts w:ascii="Calibri" w:eastAsia="Calibri" w:hAnsi="Calibri" w:cs="Calibri"/>
      <w:sz w:val="22"/>
      <w:szCs w:val="22"/>
      <w:lang w:eastAsia="zh-CN"/>
    </w:rPr>
  </w:style>
  <w:style w:type="paragraph" w:customStyle="1" w:styleId="Contenudetableau">
    <w:name w:val="Contenu de tableau"/>
    <w:basedOn w:val="Normal"/>
    <w:qFormat/>
    <w:pPr>
      <w:suppressLineNumbers/>
      <w:jc w:val="center"/>
    </w:pPr>
    <w:rPr>
      <w:rFonts w:ascii="Calibri" w:eastAsia="Calibri" w:hAnsi="Calibri" w:cs="Calibri"/>
      <w:sz w:val="22"/>
      <w:szCs w:val="22"/>
      <w:lang w:eastAsia="zh-CN"/>
    </w:rPr>
  </w:style>
  <w:style w:type="paragraph" w:customStyle="1" w:styleId="Titredetableau">
    <w:name w:val="Titre de tableau"/>
    <w:basedOn w:val="Contenudetableau"/>
    <w:qFormat/>
    <w:rPr>
      <w:b/>
      <w:bCs/>
    </w:rPr>
  </w:style>
  <w:style w:type="paragraph" w:styleId="Sous-titre">
    <w:name w:val="Subtitle"/>
    <w:basedOn w:val="Normal"/>
    <w:next w:val="Normal"/>
    <w:uiPriority w:val="11"/>
    <w:qFormat/>
    <w:pPr>
      <w:jc w:val="center"/>
    </w:pPr>
    <w:rPr>
      <w:rFonts w:ascii="Cambria" w:eastAsia="Cambria" w:hAnsi="Cambria" w:cs="Cambria"/>
      <w:i/>
      <w:color w:val="4F81BD"/>
    </w:rPr>
  </w:style>
  <w:style w:type="paragraph" w:customStyle="1" w:styleId="Commentaire1">
    <w:name w:val="Commentaire1"/>
    <w:basedOn w:val="Normal"/>
    <w:qFormat/>
    <w:pPr>
      <w:jc w:val="center"/>
    </w:pPr>
    <w:rPr>
      <w:rFonts w:ascii="Calibri" w:eastAsia="Calibri" w:hAnsi="Calibri"/>
      <w:sz w:val="20"/>
      <w:szCs w:val="20"/>
      <w:lang w:val="x-none" w:eastAsia="zh-CN"/>
    </w:rPr>
  </w:style>
  <w:style w:type="paragraph" w:styleId="Objetducommentaire">
    <w:name w:val="annotation subject"/>
    <w:basedOn w:val="Commentaire1"/>
    <w:next w:val="Commentaire1"/>
    <w:qFormat/>
    <w:rPr>
      <w:b/>
      <w:bCs/>
    </w:rPr>
  </w:style>
  <w:style w:type="paragraph" w:customStyle="1" w:styleId="Grillemoyenne1-Accent21">
    <w:name w:val="Grille moyenne 1 - Accent 21"/>
    <w:basedOn w:val="Normal"/>
    <w:uiPriority w:val="34"/>
    <w:qFormat/>
    <w:pPr>
      <w:spacing w:after="160" w:line="252" w:lineRule="auto"/>
      <w:ind w:left="720"/>
      <w:contextualSpacing/>
    </w:pPr>
    <w:rPr>
      <w:rFonts w:ascii="Calibri" w:eastAsia="Calibri" w:hAnsi="Calibri"/>
      <w:sz w:val="22"/>
      <w:szCs w:val="22"/>
      <w:lang w:eastAsia="zh-CN"/>
    </w:rPr>
  </w:style>
  <w:style w:type="paragraph" w:customStyle="1" w:styleId="western">
    <w:name w:val="western"/>
    <w:basedOn w:val="Normal"/>
    <w:qFormat/>
    <w:pPr>
      <w:spacing w:before="280" w:after="119"/>
      <w:jc w:val="center"/>
    </w:pPr>
    <w:rPr>
      <w:rFonts w:ascii="Calibri" w:hAnsi="Calibri"/>
      <w:lang w:eastAsia="zh-CN"/>
    </w:rPr>
  </w:style>
  <w:style w:type="paragraph" w:styleId="Paragraphedeliste">
    <w:name w:val="List Paragraph"/>
    <w:basedOn w:val="Normal"/>
    <w:qFormat/>
    <w:pPr>
      <w:spacing w:after="160" w:line="252" w:lineRule="auto"/>
      <w:ind w:left="720"/>
      <w:contextualSpacing/>
    </w:pPr>
    <w:rPr>
      <w:rFonts w:ascii="Calibri" w:eastAsia="Calibri" w:hAnsi="Calibri"/>
      <w:sz w:val="22"/>
      <w:szCs w:val="22"/>
      <w:lang w:eastAsia="zh-CN"/>
    </w:rPr>
  </w:style>
  <w:style w:type="paragraph" w:customStyle="1" w:styleId="Default">
    <w:name w:val="Default"/>
    <w:qFormat/>
    <w:rsid w:val="001D2EB9"/>
    <w:rPr>
      <w:rFonts w:ascii="Calibri" w:eastAsia="Calibri" w:hAnsi="Calibri" w:cs="Calibri"/>
      <w:color w:val="000000"/>
      <w:lang w:eastAsia="en-US"/>
    </w:rPr>
  </w:style>
  <w:style w:type="paragraph" w:customStyle="1" w:styleId="Standard">
    <w:name w:val="Standard"/>
    <w:qFormat/>
    <w:rsid w:val="00E81639"/>
    <w:rPr>
      <w:kern w:val="2"/>
      <w:lang w:eastAsia="zh-CN"/>
    </w:rPr>
  </w:style>
  <w:style w:type="paragraph" w:styleId="Commentaire">
    <w:name w:val="annotation text"/>
    <w:basedOn w:val="Normal"/>
    <w:link w:val="CommentaireCar1"/>
    <w:uiPriority w:val="99"/>
    <w:semiHidden/>
    <w:unhideWhenUsed/>
    <w:qFormat/>
    <w:rsid w:val="00704379"/>
    <w:pPr>
      <w:jc w:val="center"/>
    </w:pPr>
    <w:rPr>
      <w:rFonts w:ascii="Calibri" w:eastAsia="Calibri" w:hAnsi="Calibri" w:cs="Calibri"/>
      <w:sz w:val="20"/>
      <w:szCs w:val="20"/>
      <w:lang w:eastAsia="zh-CN"/>
    </w:rPr>
  </w:style>
  <w:style w:type="paragraph" w:styleId="Rvision">
    <w:name w:val="Revision"/>
    <w:uiPriority w:val="99"/>
    <w:semiHidden/>
    <w:qFormat/>
    <w:rsid w:val="007039EF"/>
    <w:rPr>
      <w:rFonts w:ascii="Calibri" w:eastAsia="Calibri" w:hAnsi="Calibri" w:cs="Calibri"/>
      <w:sz w:val="22"/>
      <w:szCs w:val="22"/>
      <w:lang w:eastAsia="zh-CN"/>
    </w:rPr>
  </w:style>
  <w:style w:type="paragraph" w:customStyle="1" w:styleId="sun1">
    <w:name w:val="sun1"/>
    <w:basedOn w:val="Default"/>
    <w:qFormat/>
    <w:rsid w:val="002E136A"/>
    <w:rPr>
      <w:rFonts w:ascii="FreeSans" w:eastAsia="Tahoma" w:hAnsi="FreeSans" w:cs="FreeSans"/>
      <w:kern w:val="2"/>
      <w:sz w:val="36"/>
      <w:lang w:eastAsia="zh-CN" w:bidi="hi-IN"/>
    </w:rPr>
  </w:style>
  <w:style w:type="paragraph" w:customStyle="1" w:styleId="Listecouleur-Accent11">
    <w:name w:val="Liste couleur - Accent 11"/>
    <w:basedOn w:val="Normal"/>
    <w:uiPriority w:val="34"/>
    <w:qFormat/>
    <w:rsid w:val="00982111"/>
    <w:pPr>
      <w:spacing w:after="160" w:line="259" w:lineRule="auto"/>
      <w:ind w:left="720"/>
      <w:contextualSpacing/>
    </w:pPr>
    <w:rPr>
      <w:rFonts w:ascii="Calibri" w:eastAsia="Calibri" w:hAnsi="Calibri"/>
      <w:sz w:val="22"/>
      <w:szCs w:val="22"/>
      <w:lang w:eastAsia="en-US"/>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JNUuueZIdzAV3uxI+v/3+nPNQ==">CgMxLjA4AHIhMXMwUmVCSnBoSVByRTMtXzV1Vzl3amp4UE1qT2dVcGdK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835</Words>
  <Characters>4596</Characters>
  <Application>Microsoft Office Word</Application>
  <DocSecurity>0</DocSecurity>
  <Lines>38</Lines>
  <Paragraphs>10</Paragraphs>
  <ScaleCrop>false</ScaleCrop>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2024-05-31T13:31:00Z</dcterms:created>
  <dcterms:modified xsi:type="dcterms:W3CDTF">2024-05-31T13:31:00Z</dcterms:modified>
</cp:coreProperties>
</file>