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E3976B" w14:textId="77777777" w:rsidR="00796114" w:rsidRDefault="00FD0FEC">
      <w:pPr>
        <w:ind w:left="5664" w:firstLine="708"/>
        <w:jc w:val="right"/>
      </w:pPr>
      <w:r>
        <w:rPr>
          <w:rFonts w:ascii="Arial" w:hAnsi="Arial" w:cs="Arial"/>
        </w:rPr>
        <w:t>Fiche sujet – candidat (1/3)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456"/>
      </w:tblGrid>
      <w:tr w:rsidR="00796114" w14:paraId="622DB77A" w14:textId="77777777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34C31A" w14:textId="77777777" w:rsidR="00796114" w:rsidRDefault="00FD0FEC">
            <w:pPr>
              <w:widowControl w:val="0"/>
              <w:snapToGrid w:val="0"/>
              <w:spacing w:before="120" w:after="120"/>
              <w:jc w:val="center"/>
            </w:pPr>
            <w:r>
              <w:rPr>
                <w:rFonts w:ascii="Arial" w:hAnsi="Arial" w:cs="Arial"/>
                <w:b/>
                <w:bCs/>
              </w:rPr>
              <w:t>Contexte</w:t>
            </w:r>
          </w:p>
        </w:tc>
      </w:tr>
      <w:tr w:rsidR="00796114" w14:paraId="6390B03D" w14:textId="77777777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D309B" w14:textId="3BAADD6D" w:rsidR="006D0033" w:rsidRDefault="00FD0FEC" w:rsidP="005123B2">
            <w:pPr>
              <w:widowControl w:val="0"/>
              <w:spacing w:before="120" w:after="12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Le stress chronique peut entraîner l’apparition de symptômes d’anxiété dus à une augmentation de l’activité électrique des neurones de certaines zones cérébrales. Normalement, l’activité de ces neurones est régulée par le GABA, un neurotransmetteur qui se fixe sur</w:t>
            </w:r>
            <w:r w:rsidR="005123B2">
              <w:rPr>
                <w:rFonts w:ascii="Arial" w:hAnsi="Arial" w:cs="Arial"/>
                <w:color w:val="000000" w:themeColor="text1"/>
              </w:rPr>
              <w:t xml:space="preserve"> des récepteurs localisés sur</w:t>
            </w:r>
            <w:r>
              <w:rPr>
                <w:rFonts w:ascii="Arial" w:hAnsi="Arial" w:cs="Arial"/>
                <w:color w:val="000000" w:themeColor="text1"/>
              </w:rPr>
              <w:t xml:space="preserve"> les corps cellulaires et les prolongements des neurones </w:t>
            </w:r>
            <w:r w:rsidR="005123B2">
              <w:rPr>
                <w:rFonts w:ascii="Arial" w:hAnsi="Arial" w:cs="Arial"/>
                <w:color w:val="000000" w:themeColor="text1"/>
              </w:rPr>
              <w:t>dont il</w:t>
            </w:r>
            <w:r>
              <w:rPr>
                <w:rFonts w:ascii="Arial" w:hAnsi="Arial" w:cs="Arial"/>
                <w:color w:val="000000" w:themeColor="text1"/>
              </w:rPr>
              <w:t xml:space="preserve"> inhibe </w:t>
            </w:r>
            <w:r w:rsidR="005123B2">
              <w:rPr>
                <w:rFonts w:ascii="Arial" w:hAnsi="Arial" w:cs="Arial"/>
                <w:color w:val="000000" w:themeColor="text1"/>
              </w:rPr>
              <w:t>le</w:t>
            </w:r>
            <w:r>
              <w:rPr>
                <w:rFonts w:ascii="Arial" w:hAnsi="Arial" w:cs="Arial"/>
                <w:color w:val="000000" w:themeColor="text1"/>
              </w:rPr>
              <w:t xml:space="preserve"> fonctionnement.</w:t>
            </w:r>
            <w:r w:rsidR="005123B2">
              <w:rPr>
                <w:rFonts w:ascii="Arial" w:hAnsi="Arial" w:cs="Arial"/>
                <w:color w:val="000000" w:themeColor="text1"/>
              </w:rPr>
              <w:t xml:space="preserve"> L</w:t>
            </w:r>
            <w:r>
              <w:rPr>
                <w:rFonts w:ascii="Arial" w:hAnsi="Arial" w:cs="Arial"/>
                <w:color w:val="000000" w:themeColor="text1"/>
              </w:rPr>
              <w:t xml:space="preserve">es médicaments </w:t>
            </w:r>
            <w:r w:rsidR="005123B2">
              <w:rPr>
                <w:rFonts w:ascii="Arial" w:hAnsi="Arial" w:cs="Arial"/>
                <w:color w:val="000000" w:themeColor="text1"/>
              </w:rPr>
              <w:t>de la famille d</w:t>
            </w:r>
            <w:r>
              <w:rPr>
                <w:rFonts w:ascii="Arial" w:hAnsi="Arial" w:cs="Arial"/>
                <w:color w:val="000000" w:themeColor="text1"/>
              </w:rPr>
              <w:t xml:space="preserve">es benzodiazépines (par exemple le diazépam) contribuent à diminuer les symptômes d’anxiété. </w:t>
            </w:r>
          </w:p>
          <w:p w14:paraId="3A40D0A2" w14:textId="77777777" w:rsidR="00796114" w:rsidRDefault="00FD0FEC" w:rsidP="005123B2">
            <w:pPr>
              <w:widowControl w:val="0"/>
              <w:spacing w:before="120" w:after="120"/>
              <w:rPr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</w:rPr>
              <w:t>On cherche à déterminer comment le diazépam participe à la diminution des symptômes d’anxiété liés au stress chronique</w:t>
            </w:r>
            <w:r w:rsidRPr="006D0033">
              <w:rPr>
                <w:rFonts w:ascii="Arial" w:hAnsi="Arial" w:cs="Arial"/>
                <w:b/>
                <w:bCs/>
              </w:rPr>
              <w:t>.</w:t>
            </w:r>
          </w:p>
        </w:tc>
      </w:tr>
    </w:tbl>
    <w:p w14:paraId="40C608C0" w14:textId="77777777" w:rsidR="00796114" w:rsidRDefault="00796114">
      <w:pPr>
        <w:jc w:val="right"/>
        <w:rPr>
          <w:rFonts w:ascii="Arial" w:hAnsi="Arial" w:cs="Arial"/>
        </w:rPr>
      </w:pPr>
    </w:p>
    <w:tbl>
      <w:tblPr>
        <w:tblStyle w:val="Grilledutableau"/>
        <w:tblW w:w="15446" w:type="dxa"/>
        <w:tblLayout w:type="fixed"/>
        <w:tblLook w:val="04A0" w:firstRow="1" w:lastRow="0" w:firstColumn="1" w:lastColumn="0" w:noHBand="0" w:noVBand="1"/>
      </w:tblPr>
      <w:tblGrid>
        <w:gridCol w:w="15446"/>
      </w:tblGrid>
      <w:tr w:rsidR="00796114" w14:paraId="2C2415D8" w14:textId="77777777">
        <w:tc>
          <w:tcPr>
            <w:tcW w:w="15446" w:type="dxa"/>
            <w:shd w:val="clear" w:color="auto" w:fill="D9D9D9" w:themeFill="background1" w:themeFillShade="D9"/>
          </w:tcPr>
          <w:p w14:paraId="084A7982" w14:textId="77777777" w:rsidR="00796114" w:rsidRDefault="00FD0FEC">
            <w:pPr>
              <w:widowControl w:val="0"/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Consignes</w:t>
            </w:r>
          </w:p>
        </w:tc>
      </w:tr>
      <w:tr w:rsidR="00796114" w14:paraId="22F9F36E" w14:textId="77777777">
        <w:tc>
          <w:tcPr>
            <w:tcW w:w="15446" w:type="dxa"/>
            <w:shd w:val="clear" w:color="auto" w:fill="F2F2F2" w:themeFill="background1" w:themeFillShade="F2"/>
          </w:tcPr>
          <w:p w14:paraId="7F66B9FC" w14:textId="1321F056" w:rsidR="00796114" w:rsidRDefault="00FD0FEC">
            <w:pPr>
              <w:widowControl w:val="0"/>
              <w:snapToGrid w:val="0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ar-SA"/>
              </w:rPr>
              <w:t>Partie A : Appropriation du contexte et activité pratique (durée recommandée : 30 min</w:t>
            </w:r>
            <w:r w:rsidR="005123B2">
              <w:rPr>
                <w:rFonts w:ascii="Arial" w:hAnsi="Arial" w:cs="Arial"/>
                <w:b/>
                <w:bCs/>
                <w:lang w:eastAsia="ar-SA"/>
              </w:rPr>
              <w:t>utes</w:t>
            </w:r>
            <w:r>
              <w:rPr>
                <w:rFonts w:ascii="Arial" w:hAnsi="Arial" w:cs="Arial"/>
                <w:b/>
                <w:bCs/>
                <w:lang w:eastAsia="ar-SA"/>
              </w:rPr>
              <w:t>)</w:t>
            </w:r>
          </w:p>
        </w:tc>
      </w:tr>
      <w:tr w:rsidR="00796114" w14:paraId="6B7AD8F4" w14:textId="77777777">
        <w:tc>
          <w:tcPr>
            <w:tcW w:w="15446" w:type="dxa"/>
          </w:tcPr>
          <w:p w14:paraId="69FC989A" w14:textId="77777777" w:rsidR="00796114" w:rsidRDefault="00FD0FEC">
            <w:pPr>
              <w:widowControl w:val="0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La stratégie adoptée consiste à repérer </w:t>
            </w:r>
            <w:r w:rsidRPr="000570F8">
              <w:rPr>
                <w:rFonts w:ascii="Arial" w:hAnsi="Arial" w:cs="Arial"/>
                <w:bCs/>
              </w:rPr>
              <w:t>les corps cellulaires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 xml:space="preserve">des neurones cérébraux afin de </w:t>
            </w:r>
            <w:r w:rsidRPr="000570F8">
              <w:rPr>
                <w:rFonts w:ascii="Arial" w:hAnsi="Arial" w:cs="Arial"/>
                <w:b/>
              </w:rPr>
              <w:t>localiser</w:t>
            </w:r>
            <w:r>
              <w:rPr>
                <w:rFonts w:ascii="Arial" w:hAnsi="Arial" w:cs="Arial"/>
              </w:rPr>
              <w:t xml:space="preserve"> l’emplacement probable des récepteurs GABA et</w:t>
            </w:r>
            <w:r>
              <w:rPr>
                <w:rFonts w:ascii="Arial" w:hAnsi="Arial" w:cs="Arial"/>
                <w:b/>
                <w:bCs/>
              </w:rPr>
              <w:t xml:space="preserve"> à traiter </w:t>
            </w:r>
            <w:r>
              <w:rPr>
                <w:rFonts w:ascii="Arial" w:hAnsi="Arial" w:cs="Arial"/>
              </w:rPr>
              <w:t>un modèle moléculaire de ce récepteur en présence de diazépam.</w:t>
            </w:r>
          </w:p>
          <w:p w14:paraId="1A773D64" w14:textId="77777777" w:rsidR="00796114" w:rsidRDefault="00FD0FEC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i/>
                <w:lang w:eastAsia="ar-SA"/>
              </w:rPr>
            </w:pPr>
            <w:r>
              <w:rPr>
                <w:rFonts w:ascii="Arial" w:hAnsi="Arial" w:cs="Arial"/>
                <w:b/>
                <w:bCs/>
                <w:i/>
                <w:lang w:eastAsia="ar-SA"/>
              </w:rPr>
              <w:t xml:space="preserve">Appeler l’examinateur </w:t>
            </w:r>
            <w:r>
              <w:rPr>
                <w:rFonts w:ascii="Arial" w:hAnsi="Arial" w:cs="Arial"/>
                <w:i/>
                <w:lang w:eastAsia="ar-SA"/>
              </w:rPr>
              <w:t>pour vérifier les résultats</w:t>
            </w:r>
            <w:r>
              <w:rPr>
                <w:rFonts w:ascii="Arial" w:hAnsi="Arial" w:cs="Arial"/>
                <w:b/>
                <w:bCs/>
                <w:i/>
                <w:lang w:eastAsia="ar-SA"/>
              </w:rPr>
              <w:t xml:space="preserve"> </w:t>
            </w:r>
            <w:r>
              <w:rPr>
                <w:rFonts w:ascii="Arial" w:hAnsi="Arial" w:cs="Arial"/>
                <w:bCs/>
                <w:i/>
                <w:lang w:eastAsia="ar-SA"/>
              </w:rPr>
              <w:t>de la mise en œuvre du protocole.</w:t>
            </w:r>
          </w:p>
        </w:tc>
      </w:tr>
      <w:tr w:rsidR="00796114" w14:paraId="0F97B067" w14:textId="77777777">
        <w:tc>
          <w:tcPr>
            <w:tcW w:w="15446" w:type="dxa"/>
            <w:shd w:val="clear" w:color="auto" w:fill="F2F2F2" w:themeFill="background1" w:themeFillShade="F2"/>
          </w:tcPr>
          <w:p w14:paraId="62E1E83F" w14:textId="3BE478C5" w:rsidR="00796114" w:rsidRDefault="00FD0FEC">
            <w:pPr>
              <w:widowControl w:val="0"/>
              <w:snapToGrid w:val="0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ar-SA"/>
              </w:rPr>
              <w:t>Partie B : Communication des résultats, interprétation, poursuite de la stratégie (durée recommandée : 30 min</w:t>
            </w:r>
            <w:r w:rsidR="005123B2">
              <w:rPr>
                <w:rFonts w:ascii="Arial" w:hAnsi="Arial" w:cs="Arial"/>
                <w:b/>
                <w:bCs/>
                <w:lang w:eastAsia="ar-SA"/>
              </w:rPr>
              <w:t>utes</w:t>
            </w:r>
            <w:r>
              <w:rPr>
                <w:rFonts w:ascii="Arial" w:hAnsi="Arial" w:cs="Arial"/>
                <w:b/>
                <w:bCs/>
                <w:lang w:eastAsia="ar-SA"/>
              </w:rPr>
              <w:t>)</w:t>
            </w:r>
          </w:p>
        </w:tc>
      </w:tr>
      <w:tr w:rsidR="00796114" w14:paraId="59F2B58E" w14:textId="77777777">
        <w:tc>
          <w:tcPr>
            <w:tcW w:w="15446" w:type="dxa"/>
          </w:tcPr>
          <w:p w14:paraId="49570807" w14:textId="77777777" w:rsidR="00796114" w:rsidRDefault="00FD0FEC">
            <w:pPr>
              <w:widowControl w:val="0"/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Présenter et traiter les résultats obtenus</w:t>
            </w:r>
            <w:r>
              <w:rPr>
                <w:rFonts w:ascii="Arial" w:hAnsi="Arial" w:cs="Arial"/>
                <w:bCs/>
              </w:rPr>
              <w:t xml:space="preserve">, sous la forme de votre choix et les </w:t>
            </w:r>
            <w:r>
              <w:rPr>
                <w:rFonts w:ascii="Arial" w:hAnsi="Arial" w:cs="Arial"/>
                <w:b/>
                <w:bCs/>
              </w:rPr>
              <w:t>interpréter</w:t>
            </w:r>
            <w:r>
              <w:rPr>
                <w:rFonts w:ascii="Arial" w:hAnsi="Arial" w:cs="Arial"/>
                <w:bCs/>
              </w:rPr>
              <w:t>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ADBDF9E" w14:textId="77777777" w:rsidR="00796114" w:rsidRDefault="00796114">
            <w:pPr>
              <w:widowControl w:val="0"/>
              <w:jc w:val="both"/>
              <w:rPr>
                <w:rFonts w:ascii="Arial" w:hAnsi="Arial" w:cs="Arial"/>
                <w:b/>
                <w:bCs/>
              </w:rPr>
            </w:pPr>
          </w:p>
          <w:p w14:paraId="501E7987" w14:textId="77777777" w:rsidR="00796114" w:rsidRDefault="00FD0FEC">
            <w:pPr>
              <w:widowControl w:val="0"/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 xml:space="preserve">Répondre sur la fiche-réponse candidat, appeler l’examinateur </w:t>
            </w:r>
            <w:r>
              <w:rPr>
                <w:rFonts w:ascii="Arial" w:hAnsi="Arial" w:cs="Arial"/>
                <w:bCs/>
                <w:i/>
              </w:rPr>
              <w:t>pour vérification de votre production et obtenir une ressource complémentaire.</w:t>
            </w:r>
          </w:p>
          <w:p w14:paraId="3C2914AC" w14:textId="77777777" w:rsidR="00796114" w:rsidRDefault="00796114">
            <w:pPr>
              <w:widowControl w:val="0"/>
              <w:jc w:val="center"/>
              <w:rPr>
                <w:rFonts w:ascii="Arial" w:hAnsi="Arial" w:cs="Arial"/>
                <w:b/>
                <w:bCs/>
                <w:i/>
              </w:rPr>
            </w:pPr>
          </w:p>
          <w:p w14:paraId="0F0AE227" w14:textId="77777777" w:rsidR="00796114" w:rsidRDefault="00FD0FEC">
            <w:pPr>
              <w:widowControl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Proposer </w:t>
            </w:r>
            <w:r>
              <w:rPr>
                <w:rFonts w:ascii="Arial" w:hAnsi="Arial" w:cs="Arial"/>
                <w:bCs/>
              </w:rPr>
              <w:t>une poursuite de stratégie permettant de préciser la conséquence de la fixation du diazépam sur le fonctionnement des neurones cérébraux.</w:t>
            </w:r>
          </w:p>
          <w:p w14:paraId="2F92B993" w14:textId="77777777" w:rsidR="00796114" w:rsidRDefault="00796114">
            <w:pPr>
              <w:widowControl w:val="0"/>
              <w:jc w:val="both"/>
              <w:rPr>
                <w:rFonts w:ascii="Arial" w:hAnsi="Arial" w:cs="Arial"/>
                <w:bCs/>
              </w:rPr>
            </w:pPr>
          </w:p>
          <w:p w14:paraId="2AE61A37" w14:textId="77777777" w:rsidR="00796114" w:rsidRDefault="00FD0FEC">
            <w:pPr>
              <w:widowControl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i/>
              </w:rPr>
              <w:t xml:space="preserve">Appeler l’examinateur </w:t>
            </w:r>
            <w:r>
              <w:rPr>
                <w:rFonts w:ascii="Arial" w:hAnsi="Arial" w:cs="Arial"/>
                <w:bCs/>
                <w:i/>
              </w:rPr>
              <w:t xml:space="preserve">pour </w:t>
            </w:r>
            <w:r>
              <w:rPr>
                <w:rFonts w:ascii="Arial" w:hAnsi="Arial" w:cs="Arial"/>
                <w:bCs/>
                <w:i/>
                <w:iCs/>
              </w:rPr>
              <w:t>formaliser votre proposition à l’oral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et obtenir une ressource complémentaire.</w:t>
            </w:r>
          </w:p>
          <w:p w14:paraId="58887357" w14:textId="77777777" w:rsidR="00796114" w:rsidRDefault="00796114">
            <w:pPr>
              <w:widowControl w:val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5BDB5C3" w14:textId="77777777" w:rsidR="00796114" w:rsidRDefault="00FD0FEC">
            <w:pPr>
              <w:widowControl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Conclure</w:t>
            </w:r>
            <w:r>
              <w:rPr>
                <w:rFonts w:ascii="Arial" w:hAnsi="Arial" w:cs="Arial"/>
                <w:bCs/>
              </w:rPr>
              <w:t xml:space="preserve"> à partir de l’ensemble des données, sur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t>la manière dont le diazépam participe à la diminution des symptômes d’anxiété liés au stress chronique.</w:t>
            </w:r>
          </w:p>
        </w:tc>
      </w:tr>
    </w:tbl>
    <w:p w14:paraId="4F2BFFDF" w14:textId="77777777" w:rsidR="00796114" w:rsidRDefault="00FD0FEC">
      <w:pPr>
        <w:jc w:val="right"/>
      </w:pPr>
      <w:r>
        <w:br w:type="page"/>
      </w:r>
      <w:r>
        <w:rPr>
          <w:rFonts w:ascii="Arial" w:hAnsi="Arial" w:cs="Arial"/>
        </w:rPr>
        <w:lastRenderedPageBreak/>
        <w:t>Fiche sujet – candidat (2/3)</w:t>
      </w:r>
    </w:p>
    <w:tbl>
      <w:tblPr>
        <w:tblW w:w="1552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57"/>
        <w:gridCol w:w="11265"/>
      </w:tblGrid>
      <w:tr w:rsidR="00796114" w14:paraId="3FDF5C7D" w14:textId="77777777">
        <w:trPr>
          <w:trHeight w:val="20"/>
        </w:trPr>
        <w:tc>
          <w:tcPr>
            <w:tcW w:w="1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03EE71" w14:textId="77777777" w:rsidR="00796114" w:rsidRDefault="00FD0FEC">
            <w:pPr>
              <w:widowControl w:val="0"/>
              <w:spacing w:before="120" w:after="120"/>
              <w:jc w:val="center"/>
            </w:pPr>
            <w:r>
              <w:rPr>
                <w:rFonts w:ascii="Arial" w:hAnsi="Arial" w:cs="Arial"/>
                <w:b/>
                <w:bCs/>
              </w:rPr>
              <w:t>Protocole</w:t>
            </w:r>
          </w:p>
        </w:tc>
      </w:tr>
      <w:tr w:rsidR="00796114" w14:paraId="0D85EBD6" w14:textId="77777777">
        <w:trPr>
          <w:trHeight w:val="20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BEF6A" w14:textId="77777777" w:rsidR="00796114" w:rsidRDefault="00FD0FEC">
            <w:pPr>
              <w:pStyle w:val="Corpsdetexte"/>
              <w:widowControl w:val="0"/>
              <w:spacing w:before="1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Matériel :</w:t>
            </w:r>
          </w:p>
          <w:p w14:paraId="544CA4B3" w14:textId="1DE61F38" w:rsidR="00796114" w:rsidRDefault="00FD0FEC" w:rsidP="002C2CAF">
            <w:pPr>
              <w:pStyle w:val="Paragraphedeliste"/>
              <w:widowControl w:val="0"/>
              <w:numPr>
                <w:ilvl w:val="0"/>
                <w:numId w:val="4"/>
              </w:numPr>
              <w:shd w:val="clear" w:color="auto" w:fill="FFFFFF"/>
              <w:spacing w:line="240" w:lineRule="auto"/>
              <w:ind w:left="326" w:hanging="247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microscope optique + dispositif de capture numérique</w:t>
            </w:r>
            <w:r w:rsidR="002C2CAF"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1B575626" w14:textId="13525625" w:rsidR="00796114" w:rsidRDefault="00FD0FEC" w:rsidP="002C2CAF">
            <w:pPr>
              <w:pStyle w:val="Paragraphedeliste"/>
              <w:widowControl w:val="0"/>
              <w:numPr>
                <w:ilvl w:val="0"/>
                <w:numId w:val="4"/>
              </w:numPr>
              <w:shd w:val="clear" w:color="auto" w:fill="FFFFFF"/>
              <w:spacing w:line="348" w:lineRule="atLeast"/>
              <w:ind w:left="326" w:hanging="247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lames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et lamelles</w:t>
            </w:r>
            <w:r w:rsidR="002C2CAF"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0090B199" w14:textId="460B2AD3" w:rsidR="00796114" w:rsidRDefault="00FD0FEC" w:rsidP="002C2CAF">
            <w:pPr>
              <w:pStyle w:val="Paragraphedeliste"/>
              <w:widowControl w:val="0"/>
              <w:numPr>
                <w:ilvl w:val="0"/>
                <w:numId w:val="4"/>
              </w:numPr>
              <w:shd w:val="clear" w:color="auto" w:fill="FFFFFF"/>
              <w:spacing w:line="348" w:lineRule="atLeast"/>
              <w:ind w:left="326" w:hanging="247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aiguille lancéolée</w:t>
            </w:r>
            <w:r w:rsidR="002C2CAF"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49F9DA20" w14:textId="29C00436" w:rsidR="00796114" w:rsidRDefault="00FD0FEC" w:rsidP="002C2CAF">
            <w:pPr>
              <w:pStyle w:val="Paragraphedeliste"/>
              <w:widowControl w:val="0"/>
              <w:numPr>
                <w:ilvl w:val="0"/>
                <w:numId w:val="4"/>
              </w:numPr>
              <w:shd w:val="clear" w:color="auto" w:fill="FFFFFF"/>
              <w:spacing w:line="348" w:lineRule="atLeast"/>
              <w:ind w:left="326" w:hanging="247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verre de montre</w:t>
            </w:r>
            <w:r w:rsidR="002C2CAF"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1131E987" w14:textId="10A7D42D" w:rsidR="00796114" w:rsidRDefault="00FD0FEC" w:rsidP="002C2CAF">
            <w:pPr>
              <w:pStyle w:val="Paragraphedeliste"/>
              <w:widowControl w:val="0"/>
              <w:numPr>
                <w:ilvl w:val="0"/>
                <w:numId w:val="4"/>
              </w:numPr>
              <w:shd w:val="clear" w:color="auto" w:fill="FFFFFF"/>
              <w:spacing w:line="348" w:lineRule="atLeast"/>
              <w:ind w:left="326" w:hanging="247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feuille de papier filtre</w:t>
            </w:r>
            <w:r w:rsidR="002C2CAF"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42D88E33" w14:textId="7B884E9B" w:rsidR="00796114" w:rsidRDefault="00FD0FEC" w:rsidP="002C2CAF">
            <w:pPr>
              <w:pStyle w:val="Paragraphedeliste"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348" w:lineRule="atLeast"/>
              <w:ind w:left="326" w:hanging="247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cervelle de mouton ou de veau</w:t>
            </w:r>
            <w:r w:rsidR="002C2CAF"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08D4102D" w14:textId="27F6F4FB" w:rsidR="00796114" w:rsidRDefault="002C2CAF" w:rsidP="002C2CAF">
            <w:pPr>
              <w:pStyle w:val="Paragraphedeliste"/>
              <w:widowControl w:val="0"/>
              <w:numPr>
                <w:ilvl w:val="0"/>
                <w:numId w:val="4"/>
              </w:numPr>
              <w:shd w:val="clear" w:color="auto" w:fill="FFFFFF"/>
              <w:spacing w:line="348" w:lineRule="atLeast"/>
              <w:ind w:left="326" w:hanging="247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b</w:t>
            </w:r>
            <w:r w:rsidR="00FD0FEC">
              <w:rPr>
                <w:rFonts w:ascii="Arial" w:hAnsi="Arial" w:cs="Arial"/>
                <w:color w:val="000000"/>
                <w:sz w:val="24"/>
                <w:szCs w:val="24"/>
              </w:rPr>
              <w:t>leu</w:t>
            </w:r>
            <w:proofErr w:type="gramEnd"/>
            <w:r w:rsidR="00FD0FEC">
              <w:rPr>
                <w:rFonts w:ascii="Arial" w:hAnsi="Arial" w:cs="Arial"/>
                <w:color w:val="000000"/>
                <w:sz w:val="24"/>
                <w:szCs w:val="24"/>
              </w:rPr>
              <w:t xml:space="preserve"> de méthylène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4A7D3310" w14:textId="37647A61" w:rsidR="00796114" w:rsidRDefault="00FD0FEC" w:rsidP="002C2CAF">
            <w:pPr>
              <w:pStyle w:val="Paragraphedeliste"/>
              <w:widowControl w:val="0"/>
              <w:numPr>
                <w:ilvl w:val="0"/>
                <w:numId w:val="4"/>
              </w:numPr>
              <w:shd w:val="clear" w:color="auto" w:fill="FFFFFF"/>
              <w:spacing w:line="348" w:lineRule="atLeast"/>
              <w:ind w:left="326" w:hanging="247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lame de rasoir ou scalpel</w:t>
            </w:r>
            <w:r w:rsidR="002C2CAF"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401CC6CD" w14:textId="37DE241A" w:rsidR="00796114" w:rsidRDefault="00FD0FEC" w:rsidP="002C2CAF">
            <w:pPr>
              <w:pStyle w:val="Paragraphedeliste"/>
              <w:widowControl w:val="0"/>
              <w:numPr>
                <w:ilvl w:val="0"/>
                <w:numId w:val="4"/>
              </w:numPr>
              <w:shd w:val="clear" w:color="auto" w:fill="FFFFFF"/>
              <w:spacing w:line="348" w:lineRule="atLeast"/>
              <w:ind w:left="326" w:hanging="247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chronomètre</w:t>
            </w:r>
            <w:r w:rsidR="002C2CAF">
              <w:rPr>
                <w:rFonts w:ascii="Arial" w:hAnsi="Arial" w:cs="Arial"/>
                <w:color w:val="000000"/>
                <w:sz w:val="24"/>
                <w:szCs w:val="24"/>
              </w:rPr>
              <w:t> ;</w:t>
            </w:r>
          </w:p>
          <w:p w14:paraId="2B038615" w14:textId="2EBF3F83" w:rsidR="00796114" w:rsidRDefault="002C2CAF" w:rsidP="002C2CAF">
            <w:pPr>
              <w:widowControl w:val="0"/>
              <w:numPr>
                <w:ilvl w:val="0"/>
                <w:numId w:val="2"/>
              </w:numPr>
              <w:spacing w:before="120"/>
              <w:ind w:left="326" w:right="317" w:hanging="247"/>
              <w:rPr>
                <w:rFonts w:ascii="Arial" w:hAnsi="Arial" w:cs="Arial"/>
                <w:color w:val="000000" w:themeColor="text1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</w:rPr>
              <w:t>l</w:t>
            </w:r>
            <w:r w:rsidR="00FD0FEC">
              <w:rPr>
                <w:rFonts w:ascii="Arial" w:hAnsi="Arial" w:cs="Arial"/>
                <w:color w:val="000000" w:themeColor="text1"/>
              </w:rPr>
              <w:t>ogiciel</w:t>
            </w:r>
            <w:proofErr w:type="gramEnd"/>
            <w:r w:rsidR="00FD0FEC">
              <w:rPr>
                <w:rFonts w:ascii="Arial" w:hAnsi="Arial" w:cs="Arial"/>
                <w:color w:val="000000" w:themeColor="text1"/>
              </w:rPr>
              <w:t xml:space="preserve"> de modélisation moléculaire et sa fiche technique</w:t>
            </w:r>
            <w:r>
              <w:rPr>
                <w:rFonts w:ascii="Arial" w:hAnsi="Arial" w:cs="Arial"/>
                <w:color w:val="000000" w:themeColor="text1"/>
              </w:rPr>
              <w:t> ;</w:t>
            </w:r>
          </w:p>
          <w:p w14:paraId="413BA4C7" w14:textId="2B707AD2" w:rsidR="00796114" w:rsidRDefault="002C2CAF" w:rsidP="002C2CAF">
            <w:pPr>
              <w:widowControl w:val="0"/>
              <w:numPr>
                <w:ilvl w:val="0"/>
                <w:numId w:val="2"/>
              </w:numPr>
              <w:spacing w:before="120"/>
              <w:ind w:left="326" w:right="317" w:hanging="247"/>
              <w:rPr>
                <w:rFonts w:ascii="Arial" w:hAnsi="Arial" w:cs="Arial"/>
                <w:color w:val="000000" w:themeColor="text1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</w:rPr>
              <w:t>m</w:t>
            </w:r>
            <w:r w:rsidR="00FD0FEC">
              <w:rPr>
                <w:rFonts w:ascii="Arial" w:hAnsi="Arial" w:cs="Arial"/>
                <w:color w:val="000000" w:themeColor="text1"/>
              </w:rPr>
              <w:t>odèle</w:t>
            </w:r>
            <w:proofErr w:type="gramEnd"/>
            <w:r w:rsidR="00FD0FEC">
              <w:rPr>
                <w:rFonts w:ascii="Arial" w:hAnsi="Arial" w:cs="Arial"/>
                <w:color w:val="000000" w:themeColor="text1"/>
              </w:rPr>
              <w:t xml:space="preserve"> moléculaire : </w:t>
            </w:r>
          </w:p>
          <w:p w14:paraId="282D3545" w14:textId="15249273" w:rsidR="00796114" w:rsidRDefault="00FD0FEC" w:rsidP="002C2CAF">
            <w:pPr>
              <w:widowControl w:val="0"/>
              <w:spacing w:after="120"/>
              <w:ind w:left="326" w:right="318" w:hanging="247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Recepteur_GABA_avec_GABA_et_DIAZEPAM.pdb</w:t>
            </w:r>
            <w:r w:rsidR="002C2CAF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1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15CC6" w14:textId="77777777" w:rsidR="00796114" w:rsidRPr="005123B2" w:rsidRDefault="00FD0FEC" w:rsidP="005123B2">
            <w:pPr>
              <w:widowControl w:val="0"/>
              <w:spacing w:before="120" w:after="360"/>
              <w:rPr>
                <w:rFonts w:ascii="Arial" w:eastAsia="Calibri" w:hAnsi="Arial" w:cs="Arial"/>
                <w:b/>
                <w:color w:val="000000" w:themeColor="text1"/>
                <w:lang w:eastAsia="zh-CN"/>
              </w:rPr>
            </w:pPr>
            <w:r w:rsidRPr="005123B2">
              <w:rPr>
                <w:rFonts w:ascii="Arial" w:eastAsia="Calibri" w:hAnsi="Arial" w:cs="Arial"/>
                <w:b/>
                <w:color w:val="000000" w:themeColor="text1"/>
                <w:lang w:eastAsia="zh-CN"/>
              </w:rPr>
              <w:t xml:space="preserve">Étapes du protocole à réaliser : </w:t>
            </w:r>
          </w:p>
          <w:p w14:paraId="5731076C" w14:textId="72A4CC0C" w:rsidR="00796114" w:rsidRPr="005123B2" w:rsidRDefault="005123B2" w:rsidP="005123B2">
            <w:pPr>
              <w:pStyle w:val="Paragraphedeliste"/>
              <w:widowControl w:val="0"/>
              <w:numPr>
                <w:ilvl w:val="0"/>
                <w:numId w:val="7"/>
              </w:numPr>
              <w:spacing w:before="120" w:after="120" w:line="240" w:lineRule="auto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5123B2"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FD0FEC" w:rsidRPr="005123B2">
              <w:rPr>
                <w:rFonts w:ascii="Arial" w:hAnsi="Arial" w:cs="Arial"/>
                <w:b/>
                <w:sz w:val="24"/>
                <w:szCs w:val="24"/>
              </w:rPr>
              <w:t>éaliser</w:t>
            </w:r>
            <w:proofErr w:type="gramEnd"/>
            <w:r w:rsidR="00FD0FEC" w:rsidRPr="005123B2">
              <w:rPr>
                <w:rFonts w:ascii="Arial" w:hAnsi="Arial" w:cs="Arial"/>
                <w:b/>
                <w:sz w:val="24"/>
                <w:szCs w:val="24"/>
              </w:rPr>
              <w:t xml:space="preserve"> un montage lame-lamelle selon le protocole suivant :</w:t>
            </w:r>
          </w:p>
          <w:p w14:paraId="0EF69EDE" w14:textId="15DB36C0" w:rsidR="00796114" w:rsidRPr="005123B2" w:rsidRDefault="005123B2" w:rsidP="002C2CAF">
            <w:pPr>
              <w:pStyle w:val="Paragraphedeliste"/>
              <w:widowControl w:val="0"/>
              <w:numPr>
                <w:ilvl w:val="0"/>
                <w:numId w:val="3"/>
              </w:numPr>
              <w:spacing w:before="120" w:after="120" w:line="240" w:lineRule="auto"/>
              <w:ind w:left="1450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écouper</w:t>
            </w:r>
            <w:proofErr w:type="gramEnd"/>
            <w:r w:rsidR="00FD0FEC" w:rsidRPr="005123B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une tranche fine de cervelle à l’aide d’une lame de rasoir ou d’un scalpel ;</w:t>
            </w:r>
          </w:p>
          <w:p w14:paraId="26395BF4" w14:textId="6D62435B" w:rsidR="00796114" w:rsidRPr="005123B2" w:rsidRDefault="005123B2" w:rsidP="002C2CAF">
            <w:pPr>
              <w:pStyle w:val="Paragraphedeliste"/>
              <w:widowControl w:val="0"/>
              <w:numPr>
                <w:ilvl w:val="0"/>
                <w:numId w:val="3"/>
              </w:numPr>
              <w:spacing w:before="120" w:after="120" w:line="240" w:lineRule="auto"/>
              <w:ind w:left="1450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époser</w:t>
            </w:r>
            <w:proofErr w:type="gramEnd"/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D0FEC" w:rsidRPr="005123B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la tranche fine dans un verre de montre et la </w:t>
            </w:r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recouvrir</w:t>
            </w:r>
            <w:r w:rsidR="00FD0FEC" w:rsidRPr="005123B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bleu de méthylène ;</w:t>
            </w:r>
          </w:p>
          <w:p w14:paraId="0189670D" w14:textId="5300E92C" w:rsidR="00796114" w:rsidRPr="005123B2" w:rsidRDefault="005123B2" w:rsidP="002C2CAF">
            <w:pPr>
              <w:pStyle w:val="Paragraphedeliste"/>
              <w:widowControl w:val="0"/>
              <w:numPr>
                <w:ilvl w:val="0"/>
                <w:numId w:val="3"/>
              </w:numPr>
              <w:spacing w:before="120" w:after="120" w:line="240" w:lineRule="auto"/>
              <w:ind w:left="1450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ttendre</w:t>
            </w:r>
            <w:proofErr w:type="gramEnd"/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D0FEC" w:rsidRPr="005123B2">
              <w:rPr>
                <w:rFonts w:ascii="Arial" w:hAnsi="Arial" w:cs="Arial"/>
                <w:color w:val="000000" w:themeColor="text1"/>
                <w:sz w:val="24"/>
                <w:szCs w:val="24"/>
              </w:rPr>
              <w:t>5 à 10 minutes ;</w:t>
            </w:r>
          </w:p>
          <w:p w14:paraId="0F43152C" w14:textId="0342A861" w:rsidR="00796114" w:rsidRPr="005123B2" w:rsidRDefault="005123B2" w:rsidP="002C2CAF">
            <w:pPr>
              <w:pStyle w:val="Paragraphedeliste"/>
              <w:widowControl w:val="0"/>
              <w:numPr>
                <w:ilvl w:val="0"/>
                <w:numId w:val="3"/>
              </w:numPr>
              <w:spacing w:before="120" w:after="120" w:line="240" w:lineRule="auto"/>
              <w:ind w:left="1450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="00FD0FEC" w:rsidRPr="005123B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rélever</w:t>
            </w:r>
            <w:proofErr w:type="gramEnd"/>
            <w:r w:rsidR="00FD0FEC" w:rsidRPr="005123B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à l’aide de l’aiguille lancéolée un petit morceau de la tranche colorée au bleu de méthylène ;</w:t>
            </w:r>
          </w:p>
          <w:p w14:paraId="1B8FFC59" w14:textId="444BD042" w:rsidR="00796114" w:rsidRPr="005123B2" w:rsidRDefault="005123B2" w:rsidP="002C2CAF">
            <w:pPr>
              <w:pStyle w:val="Paragraphedeliste"/>
              <w:widowControl w:val="0"/>
              <w:numPr>
                <w:ilvl w:val="0"/>
                <w:numId w:val="3"/>
              </w:numPr>
              <w:spacing w:before="120" w:after="120" w:line="240" w:lineRule="auto"/>
              <w:ind w:left="1450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</w:t>
            </w:r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éaliser</w:t>
            </w:r>
            <w:proofErr w:type="gramEnd"/>
            <w:r w:rsidR="00FD0FEC" w:rsidRPr="005123B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un montage lame-lamelle et </w:t>
            </w:r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observer</w:t>
            </w:r>
            <w:r w:rsidR="00FD0FEC" w:rsidRPr="005123B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au microscope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 ;</w:t>
            </w:r>
          </w:p>
          <w:p w14:paraId="7DD0AC9F" w14:textId="11968857" w:rsidR="00796114" w:rsidRPr="005123B2" w:rsidRDefault="005123B2" w:rsidP="005123B2">
            <w:pPr>
              <w:pStyle w:val="Paragraphedeliste"/>
              <w:widowControl w:val="0"/>
              <w:numPr>
                <w:ilvl w:val="0"/>
                <w:numId w:val="7"/>
              </w:numPr>
              <w:spacing w:before="240" w:after="120" w:line="240" w:lineRule="auto"/>
              <w:contextualSpacing w:val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é</w:t>
            </w:r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tudier</w:t>
            </w:r>
            <w:proofErr w:type="gramEnd"/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D0FEC" w:rsidRPr="005123B2">
              <w:rPr>
                <w:rFonts w:ascii="Arial" w:hAnsi="Arial" w:cs="Arial"/>
                <w:b/>
                <w:sz w:val="24"/>
                <w:szCs w:val="24"/>
              </w:rPr>
              <w:t>le</w:t>
            </w:r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modèle moléculaire selon le protocole suivant :</w:t>
            </w:r>
          </w:p>
          <w:p w14:paraId="497B407E" w14:textId="1C64C7A6" w:rsidR="00796114" w:rsidRPr="005123B2" w:rsidRDefault="005123B2" w:rsidP="002C2CAF">
            <w:pPr>
              <w:pStyle w:val="Paragraphedeliste"/>
              <w:widowControl w:val="0"/>
              <w:numPr>
                <w:ilvl w:val="0"/>
                <w:numId w:val="8"/>
              </w:numPr>
              <w:spacing w:before="120" w:after="120" w:line="240" w:lineRule="auto"/>
              <w:ind w:left="1450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à</w:t>
            </w:r>
            <w:proofErr w:type="gramEnd"/>
            <w:r w:rsidR="00FD0FEC" w:rsidRPr="005123B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l’aide du logiciel de modélisation moléculaire, </w:t>
            </w:r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localiser</w:t>
            </w:r>
            <w:r w:rsidR="00FD0FEC" w:rsidRPr="005123B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le GABA sur son récepteur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 ;</w:t>
            </w:r>
          </w:p>
          <w:p w14:paraId="1865F339" w14:textId="3A0CC988" w:rsidR="00796114" w:rsidRPr="005123B2" w:rsidRDefault="005123B2" w:rsidP="002C2CAF">
            <w:pPr>
              <w:pStyle w:val="Paragraphedeliste"/>
              <w:widowControl w:val="0"/>
              <w:numPr>
                <w:ilvl w:val="0"/>
                <w:numId w:val="8"/>
              </w:numPr>
              <w:spacing w:before="120" w:after="120" w:line="240" w:lineRule="auto"/>
              <w:ind w:left="1450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à</w:t>
            </w:r>
            <w:proofErr w:type="gramEnd"/>
            <w:r w:rsidR="00FD0FEC" w:rsidRPr="005123B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l’aide du logiciel de modélisation moléculaire</w:t>
            </w:r>
            <w:r w:rsidR="00FD0FEC" w:rsidRPr="00512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localiser</w:t>
            </w:r>
            <w:r w:rsidR="00FD0FEC" w:rsidRPr="005123B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le diazépam sur le récepteur GABA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 ;</w:t>
            </w:r>
          </w:p>
          <w:p w14:paraId="1A309632" w14:textId="77777777" w:rsidR="00796114" w:rsidRPr="005123B2" w:rsidRDefault="00FD0FEC" w:rsidP="005123B2">
            <w:pPr>
              <w:widowControl w:val="0"/>
              <w:shd w:val="clear" w:color="auto" w:fill="FFFFFF"/>
              <w:spacing w:before="240" w:after="120"/>
              <w:rPr>
                <w:rFonts w:ascii="Arial" w:hAnsi="Arial" w:cs="Arial"/>
                <w:bCs/>
                <w:iCs/>
                <w:color w:val="000000" w:themeColor="text1"/>
              </w:rPr>
            </w:pPr>
            <w:r w:rsidRPr="005123B2">
              <w:rPr>
                <w:rFonts w:ascii="Arial" w:hAnsi="Arial" w:cs="Arial"/>
                <w:bCs/>
                <w:iCs/>
                <w:color w:val="000000" w:themeColor="text1"/>
              </w:rPr>
              <w:t>Code des molécules :</w:t>
            </w:r>
          </w:p>
          <w:p w14:paraId="54FEB063" w14:textId="77777777" w:rsidR="00796114" w:rsidRPr="005123B2" w:rsidRDefault="00FD0FEC" w:rsidP="005123B2">
            <w:pPr>
              <w:widowControl w:val="0"/>
              <w:shd w:val="clear" w:color="auto" w:fill="FFFFFF"/>
              <w:spacing w:after="120"/>
              <w:ind w:left="600"/>
              <w:rPr>
                <w:rFonts w:ascii="Arial" w:hAnsi="Arial" w:cs="Arial"/>
                <w:bCs/>
                <w:iCs/>
                <w:color w:val="0070C0"/>
              </w:rPr>
            </w:pPr>
            <w:r w:rsidRPr="005123B2">
              <w:rPr>
                <w:rFonts w:ascii="Arial" w:hAnsi="Arial" w:cs="Arial"/>
                <w:bCs/>
                <w:iCs/>
                <w:color w:val="000000" w:themeColor="text1"/>
              </w:rPr>
              <w:t>ABU = molécule de GABA</w:t>
            </w:r>
          </w:p>
          <w:p w14:paraId="2794AB8C" w14:textId="51D01F12" w:rsidR="00796114" w:rsidRPr="002C2CAF" w:rsidRDefault="00FD0FEC" w:rsidP="002C2CAF">
            <w:pPr>
              <w:widowControl w:val="0"/>
              <w:shd w:val="clear" w:color="auto" w:fill="FFFFFF"/>
              <w:spacing w:after="120"/>
              <w:ind w:left="600"/>
              <w:rPr>
                <w:rFonts w:ascii="Arial" w:hAnsi="Arial" w:cs="Arial"/>
                <w:bCs/>
                <w:iCs/>
                <w:color w:val="000000" w:themeColor="text1"/>
              </w:rPr>
            </w:pPr>
            <w:r w:rsidRPr="005123B2">
              <w:rPr>
                <w:rFonts w:ascii="Arial" w:hAnsi="Arial" w:cs="Arial"/>
                <w:bCs/>
                <w:iCs/>
                <w:color w:val="000000" w:themeColor="text1"/>
              </w:rPr>
              <w:t>DZP = molécule de diazépam</w:t>
            </w:r>
          </w:p>
        </w:tc>
      </w:tr>
      <w:tr w:rsidR="00796114" w14:paraId="2611746A" w14:textId="77777777">
        <w:trPr>
          <w:trHeight w:val="1869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51947" w14:textId="6B2D0205" w:rsidR="00796114" w:rsidRDefault="00FD0FEC">
            <w:pPr>
              <w:pStyle w:val="Corpsdetexte"/>
              <w:widowControl w:val="0"/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Sécurité</w:t>
            </w:r>
            <w:r w:rsidR="00743B7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6F979CE5" w14:textId="77777777" w:rsidR="00796114" w:rsidRDefault="00FD0FEC">
            <w:pPr>
              <w:pStyle w:val="Corpsdetexte"/>
              <w:widowControl w:val="0"/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CEFEF5A" wp14:editId="5BBE20FE">
                  <wp:extent cx="579755" cy="720090"/>
                  <wp:effectExtent l="0" t="0" r="0" b="0"/>
                  <wp:docPr id="1" name="Image 850699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8506999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AF0CF" w14:textId="77777777" w:rsidR="00796114" w:rsidRDefault="00FD0FEC">
            <w:pPr>
              <w:pStyle w:val="Grilleclaire-Accent31"/>
              <w:widowControl w:val="0"/>
              <w:spacing w:before="120" w:after="120"/>
              <w:ind w:left="38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Précautions de la manipulation :</w:t>
            </w:r>
          </w:p>
          <w:p w14:paraId="6FA4F32A" w14:textId="6F434D17" w:rsidR="00796114" w:rsidRDefault="00FD0FEC">
            <w:pPr>
              <w:pStyle w:val="western"/>
              <w:widowControl w:val="0"/>
              <w:spacing w:before="0" w:after="0"/>
              <w:ind w:left="37" w:right="33"/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8048D30" wp14:editId="51A926E7">
                  <wp:extent cx="720090" cy="720090"/>
                  <wp:effectExtent l="0" t="0" r="0" b="0"/>
                  <wp:docPr id="2" name="Image 2" descr="C:\Users\avialar\Documents\dossiers_travail\SVT\sécurité\pictogrammes\Pictogrammes2023_VGuili\bl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C:\Users\avialar\Documents\dossiers_travail\SVT\sécurité\pictogrammes\Pictogrammes2023_VGuili\blous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2CAF">
              <w:rPr>
                <w:rFonts w:ascii="Arial" w:hAnsi="Arial" w:cs="Arial"/>
              </w:rPr>
              <w:t xml:space="preserve"> </w:t>
            </w:r>
            <w:r>
              <w:rPr>
                <w:noProof/>
                <w:lang w:eastAsia="fr-FR"/>
              </w:rPr>
              <w:drawing>
                <wp:inline distT="0" distB="0" distL="0" distR="0" wp14:anchorId="61465C29" wp14:editId="634A6E7A">
                  <wp:extent cx="720090" cy="720090"/>
                  <wp:effectExtent l="0" t="0" r="0" b="0"/>
                  <wp:docPr id="3" name="Image 3" descr="C:\Users\avialar\Documents\dossiers_travail\SVT\sécurité\pictogrammes\Pictogrammes2023_VGuili\gan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C:\Users\avialar\Documents\dossiers_travail\SVT\sécurité\pictogrammes\Pictogrammes2023_VGuili\gant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ABDE8D" w14:textId="77777777" w:rsidR="00796114" w:rsidRDefault="00FD0FEC">
      <w:pPr>
        <w:jc w:val="right"/>
        <w:rPr>
          <w:rFonts w:ascii="Arial" w:hAnsi="Arial" w:cs="Arial"/>
        </w:rPr>
      </w:pPr>
      <w:r>
        <w:br w:type="page"/>
      </w:r>
      <w:r>
        <w:rPr>
          <w:rFonts w:ascii="Arial" w:hAnsi="Arial" w:cs="Arial"/>
        </w:rPr>
        <w:lastRenderedPageBreak/>
        <w:t>Fiche sujet – candidat (3/3)</w:t>
      </w:r>
    </w:p>
    <w:tbl>
      <w:tblPr>
        <w:tblW w:w="1535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505"/>
        <w:gridCol w:w="6849"/>
      </w:tblGrid>
      <w:tr w:rsidR="00796114" w14:paraId="40367A61" w14:textId="77777777">
        <w:trPr>
          <w:trHeight w:val="164"/>
        </w:trPr>
        <w:tc>
          <w:tcPr>
            <w:tcW w:w="15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858B1C" w14:textId="77777777" w:rsidR="00796114" w:rsidRDefault="00FD0FEC">
            <w:pPr>
              <w:widowControl w:val="0"/>
              <w:snapToGrid w:val="0"/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Ressources</w:t>
            </w:r>
          </w:p>
        </w:tc>
      </w:tr>
      <w:tr w:rsidR="00796114" w:rsidRPr="002C2CAF" w14:paraId="390FAB9A" w14:textId="77777777" w:rsidTr="000570F8">
        <w:trPr>
          <w:trHeight w:val="8821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1581" w14:textId="185AE341" w:rsidR="00796114" w:rsidRPr="002C2CAF" w:rsidRDefault="00FD0FEC" w:rsidP="002C2CAF">
            <w:pPr>
              <w:widowControl w:val="0"/>
              <w:spacing w:before="120"/>
              <w:rPr>
                <w:rFonts w:ascii="Arial" w:hAnsi="Arial" w:cs="Arial"/>
                <w:b/>
              </w:rPr>
            </w:pPr>
            <w:r w:rsidRPr="002C2CAF">
              <w:rPr>
                <w:rFonts w:ascii="Arial" w:hAnsi="Arial" w:cs="Arial"/>
                <w:b/>
              </w:rPr>
              <w:t>Localisation des récepteurs GABA au niveau de neurones par la technique d’immunohistochimie et modèle moléculaire d’un récepteur GABA</w:t>
            </w:r>
            <w:r w:rsidR="002C2CAF" w:rsidRPr="002C2CAF">
              <w:rPr>
                <w:rFonts w:ascii="Arial" w:hAnsi="Arial" w:cs="Arial"/>
                <w:b/>
              </w:rPr>
              <w:t> :</w:t>
            </w:r>
          </w:p>
          <w:p w14:paraId="0F23BDA6" w14:textId="77777777" w:rsidR="00796114" w:rsidRPr="002C2CAF" w:rsidRDefault="00FD0FEC" w:rsidP="000570F8">
            <w:pPr>
              <w:widowControl w:val="0"/>
              <w:spacing w:before="120" w:after="60"/>
              <w:rPr>
                <w:rFonts w:ascii="Arial" w:hAnsi="Arial" w:cs="Arial"/>
                <w:bCs/>
              </w:rPr>
            </w:pPr>
            <w:r w:rsidRPr="002C2CAF">
              <w:rPr>
                <w:rFonts w:ascii="Arial" w:hAnsi="Arial" w:cs="Arial"/>
                <w:bCs/>
              </w:rPr>
              <w:t xml:space="preserve">La technique d’immunohistochimie consiste à marquer par un système fluorescent (ici en rouge) des anticorps anti-récepteur GABA. Ceux-ci se fixent uniquement sur les récepteurs GABA, ce qui permet de localiser leur emplacement. </w:t>
            </w:r>
          </w:p>
          <w:p w14:paraId="799D291A" w14:textId="77777777" w:rsidR="000570F8" w:rsidRPr="002C2CAF" w:rsidRDefault="00FD0FEC" w:rsidP="000570F8">
            <w:pPr>
              <w:widowControl w:val="0"/>
              <w:spacing w:before="120" w:after="60"/>
              <w:jc w:val="center"/>
              <w:rPr>
                <w:rFonts w:ascii="Arial" w:hAnsi="Arial" w:cs="Arial"/>
                <w:bCs/>
                <w:i/>
                <w:iCs/>
                <w:lang w:val="en-US"/>
              </w:rPr>
            </w:pPr>
            <w:r w:rsidRPr="002C2CAF">
              <w:rPr>
                <w:noProof/>
              </w:rPr>
              <w:drawing>
                <wp:inline distT="0" distB="0" distL="0" distR="0" wp14:anchorId="397D3981" wp14:editId="4474BC1C">
                  <wp:extent cx="4516499" cy="4109607"/>
                  <wp:effectExtent l="0" t="0" r="5080" b="5715"/>
                  <wp:docPr id="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42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5664" cy="413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4CD58D" w14:textId="690B8293" w:rsidR="00796114" w:rsidRPr="002C2CAF" w:rsidRDefault="00FD0FEC" w:rsidP="000570F8">
            <w:pPr>
              <w:widowControl w:val="0"/>
              <w:spacing w:before="120" w:after="60"/>
              <w:jc w:val="right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2C2CAF">
              <w:rPr>
                <w:rFonts w:ascii="Arial" w:hAnsi="Arial" w:cs="Arial"/>
                <w:bCs/>
                <w:i/>
                <w:iCs/>
                <w:sz w:val="18"/>
                <w:szCs w:val="18"/>
                <w:lang w:val="en-US"/>
              </w:rPr>
              <w:t>D’après</w:t>
            </w:r>
            <w:proofErr w:type="spellEnd"/>
            <w:r w:rsidRPr="002C2CAF">
              <w:rPr>
                <w:rFonts w:ascii="Arial" w:hAnsi="Arial" w:cs="Arial"/>
                <w:bCs/>
                <w:i/>
                <w:iCs/>
                <w:sz w:val="18"/>
                <w:szCs w:val="18"/>
                <w:lang w:val="en-US"/>
              </w:rPr>
              <w:t xml:space="preserve"> Nicholson, Sweeney and al, 2018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6940" w14:textId="73C951B3" w:rsidR="00796114" w:rsidRPr="002C2CAF" w:rsidRDefault="002C2CAF" w:rsidP="000570F8">
            <w:pPr>
              <w:pStyle w:val="Paragraphedeliste"/>
              <w:widowControl w:val="0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2C2CAF"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="00FD0FEC" w:rsidRPr="002C2CAF">
              <w:rPr>
                <w:rFonts w:ascii="Arial" w:hAnsi="Arial" w:cs="Arial"/>
                <w:b/>
                <w:sz w:val="24"/>
                <w:szCs w:val="24"/>
              </w:rPr>
              <w:t>ode d’action du GABA sur son récepteur</w:t>
            </w:r>
            <w:r w:rsidRPr="002C2CAF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58378CB9" w14:textId="77777777" w:rsidR="00796114" w:rsidRPr="002C2CAF" w:rsidRDefault="00FD0FEC">
            <w:pPr>
              <w:pStyle w:val="Paragraphedeliste"/>
              <w:widowControl w:val="0"/>
              <w:spacing w:after="120" w:line="240" w:lineRule="auto"/>
              <w:ind w:left="0"/>
              <w:contextualSpacing w:val="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C2CAF"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 wp14:anchorId="57DFDB69" wp14:editId="25245C56">
                  <wp:extent cx="3952542" cy="5240768"/>
                  <wp:effectExtent l="0" t="0" r="0" b="4445"/>
                  <wp:docPr id="5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90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8595" cy="5315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1E7231" w14:textId="77777777" w:rsidR="00796114" w:rsidRPr="002C2CAF" w:rsidRDefault="00FD0FEC">
            <w:pPr>
              <w:pStyle w:val="Paragraphedeliste"/>
              <w:widowControl w:val="0"/>
              <w:spacing w:after="120" w:line="240" w:lineRule="auto"/>
              <w:ind w:left="0"/>
              <w:contextualSpacing w:val="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C2CAF">
              <w:rPr>
                <w:rFonts w:ascii="Arial" w:hAnsi="Arial" w:cs="Arial"/>
                <w:i/>
                <w:iCs/>
                <w:sz w:val="18"/>
                <w:szCs w:val="18"/>
              </w:rPr>
              <w:t>D’après vieterre.fr</w:t>
            </w:r>
          </w:p>
        </w:tc>
      </w:tr>
    </w:tbl>
    <w:p w14:paraId="2936F8B5" w14:textId="77777777" w:rsidR="00796114" w:rsidRDefault="00796114" w:rsidP="000570F8">
      <w:pPr>
        <w:rPr>
          <w:rFonts w:ascii="Arial" w:hAnsi="Arial" w:cs="Arial"/>
        </w:rPr>
      </w:pPr>
    </w:p>
    <w:sectPr w:rsidR="00796114" w:rsidSect="00F5000C">
      <w:headerReference w:type="even" r:id="rId12"/>
      <w:headerReference w:type="default" r:id="rId13"/>
      <w:headerReference w:type="first" r:id="rId14"/>
      <w:pgSz w:w="16838" w:h="11906" w:orient="landscape"/>
      <w:pgMar w:top="720" w:right="720" w:bottom="720" w:left="720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0393A" w14:textId="77777777" w:rsidR="00F5000C" w:rsidRDefault="00F5000C">
      <w:r>
        <w:separator/>
      </w:r>
    </w:p>
  </w:endnote>
  <w:endnote w:type="continuationSeparator" w:id="0">
    <w:p w14:paraId="0B84B21D" w14:textId="77777777" w:rsidR="00F5000C" w:rsidRDefault="00F50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Calibri"/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panose1 w:val="020B0604020202020204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reeSans">
    <w:altName w:val="Cambria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012CB" w14:textId="77777777" w:rsidR="00F5000C" w:rsidRDefault="00F5000C">
      <w:r>
        <w:separator/>
      </w:r>
    </w:p>
  </w:footnote>
  <w:footnote w:type="continuationSeparator" w:id="0">
    <w:p w14:paraId="70BFF252" w14:textId="77777777" w:rsidR="00F5000C" w:rsidRDefault="00F50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6D521" w14:textId="77777777" w:rsidR="00796114" w:rsidRDefault="0079611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257CA" w14:textId="77777777" w:rsidR="00796114" w:rsidRDefault="00FD0FEC">
    <w:pPr>
      <w:pStyle w:val="En-tte"/>
      <w:shd w:val="clear" w:color="auto" w:fill="FFFFFF"/>
      <w:rPr>
        <w:rFonts w:ascii="Arial" w:hAnsi="Arial"/>
        <w:b/>
        <w:bCs/>
        <w:sz w:val="24"/>
        <w:szCs w:val="24"/>
        <w:shd w:val="clear" w:color="auto" w:fill="FFFFFF"/>
      </w:rPr>
    </w:pPr>
    <w:r>
      <w:rPr>
        <w:rFonts w:ascii="Arial" w:hAnsi="Arial"/>
        <w:b/>
        <w:bCs/>
        <w:sz w:val="24"/>
        <w:szCs w:val="24"/>
        <w:shd w:val="clear" w:color="auto" w:fill="FFFFFF"/>
      </w:rPr>
      <w:t>Benzodiazépines et stress chronique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0BE2" w14:textId="77777777" w:rsidR="00796114" w:rsidRDefault="00FD0FEC">
    <w:pPr>
      <w:pStyle w:val="En-tte"/>
      <w:shd w:val="clear" w:color="auto" w:fill="FFFFFF"/>
      <w:rPr>
        <w:rFonts w:ascii="Arial" w:hAnsi="Arial"/>
        <w:b/>
        <w:bCs/>
        <w:sz w:val="24"/>
        <w:szCs w:val="24"/>
        <w:shd w:val="clear" w:color="auto" w:fill="FFFFFF"/>
      </w:rPr>
    </w:pPr>
    <w:r>
      <w:rPr>
        <w:rFonts w:ascii="Arial" w:hAnsi="Arial"/>
        <w:b/>
        <w:bCs/>
        <w:sz w:val="24"/>
        <w:szCs w:val="24"/>
        <w:shd w:val="clear" w:color="auto" w:fill="FFFFFF"/>
      </w:rPr>
      <w:t>Benzodiazépines et stress chronique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A5C48"/>
    <w:multiLevelType w:val="multilevel"/>
    <w:tmpl w:val="DDCA535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663703"/>
    <w:multiLevelType w:val="multilevel"/>
    <w:tmpl w:val="6EA41E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F263D4A"/>
    <w:multiLevelType w:val="multilevel"/>
    <w:tmpl w:val="1CFC5E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b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4C969CC"/>
    <w:multiLevelType w:val="multilevel"/>
    <w:tmpl w:val="F43E93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DED42E4"/>
    <w:multiLevelType w:val="hybridMultilevel"/>
    <w:tmpl w:val="AD10AEAC"/>
    <w:lvl w:ilvl="0" w:tplc="C6645CE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F2254"/>
    <w:multiLevelType w:val="multilevel"/>
    <w:tmpl w:val="EF701D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DC06BAC"/>
    <w:multiLevelType w:val="multilevel"/>
    <w:tmpl w:val="EF701D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C2D4D1C"/>
    <w:multiLevelType w:val="multilevel"/>
    <w:tmpl w:val="DEAAA20A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57012859">
    <w:abstractNumId w:val="3"/>
  </w:num>
  <w:num w:numId="2" w16cid:durableId="2109539028">
    <w:abstractNumId w:val="7"/>
  </w:num>
  <w:num w:numId="3" w16cid:durableId="1017123269">
    <w:abstractNumId w:val="6"/>
  </w:num>
  <w:num w:numId="4" w16cid:durableId="607003095">
    <w:abstractNumId w:val="0"/>
  </w:num>
  <w:num w:numId="5" w16cid:durableId="1040010255">
    <w:abstractNumId w:val="2"/>
  </w:num>
  <w:num w:numId="6" w16cid:durableId="433785292">
    <w:abstractNumId w:val="1"/>
  </w:num>
  <w:num w:numId="7" w16cid:durableId="159348862">
    <w:abstractNumId w:val="4"/>
  </w:num>
  <w:num w:numId="8" w16cid:durableId="5475719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114"/>
    <w:rsid w:val="000570F8"/>
    <w:rsid w:val="001064C4"/>
    <w:rsid w:val="002C2CAF"/>
    <w:rsid w:val="00473408"/>
    <w:rsid w:val="005123B2"/>
    <w:rsid w:val="00622F12"/>
    <w:rsid w:val="006D0033"/>
    <w:rsid w:val="00743B78"/>
    <w:rsid w:val="00796114"/>
    <w:rsid w:val="009A0386"/>
    <w:rsid w:val="00B255DB"/>
    <w:rsid w:val="00CF7CCC"/>
    <w:rsid w:val="00F5000C"/>
    <w:rsid w:val="00FD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00E9D"/>
  <w15:docId w15:val="{68DF3A6F-9609-8B43-9D6C-80D4FB9B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AE1"/>
    <w:rPr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jc w:val="center"/>
      <w:outlineLvl w:val="4"/>
    </w:pPr>
    <w:rPr>
      <w:rFonts w:ascii="Cambria" w:hAnsi="Cambria" w:cs="Cambria"/>
      <w:color w:val="243F60"/>
      <w:sz w:val="22"/>
      <w:szCs w:val="22"/>
      <w:lang w:eastAsia="zh-CN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jc w:val="center"/>
      <w:outlineLvl w:val="6"/>
    </w:pPr>
    <w:rPr>
      <w:lang w:eastAsia="zh-CN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jc w:val="center"/>
      <w:outlineLvl w:val="8"/>
    </w:pPr>
    <w:rPr>
      <w:rFonts w:ascii="Arial" w:hAnsi="Arial" w:cs="Arial"/>
      <w:sz w:val="22"/>
      <w:szCs w:val="2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alibri" w:hAnsi="Calibri" w:cs="Calibri"/>
      <w:sz w:val="24"/>
      <w:szCs w:val="24"/>
    </w:rPr>
  </w:style>
  <w:style w:type="character" w:customStyle="1" w:styleId="WW8Num3z0">
    <w:name w:val="WW8Num3z0"/>
    <w:qFormat/>
    <w:rPr>
      <w:rFonts w:ascii="OpenSymbol" w:hAnsi="OpenSymbol" w:cs="OpenSymbol"/>
      <w:b w:val="0"/>
    </w:rPr>
  </w:style>
  <w:style w:type="character" w:customStyle="1" w:styleId="WW8Num4z0">
    <w:name w:val="WW8Num4z0"/>
    <w:qFormat/>
    <w:rPr>
      <w:rFonts w:ascii="OpenSymbol" w:hAnsi="OpenSymbol" w:cs="OpenSymbol"/>
    </w:rPr>
  </w:style>
  <w:style w:type="character" w:customStyle="1" w:styleId="WW8Num5z0">
    <w:name w:val="WW8Num5z0"/>
    <w:qFormat/>
    <w:rPr>
      <w:rFonts w:ascii="Arial" w:eastAsia="SimSun" w:hAnsi="Arial" w:cs="Aria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OpenSymbol" w:hAnsi="OpenSymbol" w:cs="OpenSymbol"/>
      <w:b w:val="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OpenSymbol" w:hAnsi="OpenSymbol" w:cs="OpenSymbol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OpenSymbol" w:hAnsi="OpenSymbol" w:cs="OpenSymbol"/>
      <w:b w:val="0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Calibri" w:eastAsia="Calibri" w:hAnsi="Calibri" w:cs="Calibri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  <w:color w:val="000000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OpenSymbol" w:hAnsi="OpenSymbol" w:cs="OpenSymbol"/>
      <w:b w:val="0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Arial" w:eastAsia="Calibri" w:hAnsi="Arial" w:cs="Aria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OpenSymbol" w:hAnsi="OpenSymbol" w:cs="OpenSymbol"/>
      <w:b w:val="0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Calibri" w:hAnsi="Calibri" w:cs="Calibri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Arial" w:eastAsia="Calibri" w:hAnsi="Arial" w:cs="Aria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OpenSymbol" w:hAnsi="OpenSymbol" w:cs="OpenSymbol"/>
      <w:b w:val="0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Calibri" w:hAnsi="Calibri" w:cs="Calibri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OpenSymbol" w:hAnsi="OpenSymbol" w:cs="OpenSymbol"/>
      <w:b w:val="0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Arial" w:eastAsia="Calibri" w:hAnsi="Arial" w:cs="Aria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Calibri" w:hAnsi="Calibri" w:cs="Calibri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OpenSymbol" w:hAnsi="OpenSymbol" w:cs="OpenSymbol"/>
      <w:b w:val="0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Arial" w:eastAsia="Calibri" w:hAnsi="Arial" w:cs="Aria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Calibri" w:hAnsi="Calibri" w:cs="Calibri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Times New Roman" w:hAnsi="Times New Roman" w:cs="Times New Roman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OpenSymbol" w:hAnsi="OpenSymbol" w:cs="OpenSymbol"/>
      <w:b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3">
    <w:name w:val="WW8Num39z3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Policepardfaut2">
    <w:name w:val="Police par défaut2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Policepardfaut1">
    <w:name w:val="Police par défaut1"/>
    <w:qFormat/>
  </w:style>
  <w:style w:type="character" w:customStyle="1" w:styleId="Titre5Car">
    <w:name w:val="Titre 5 Car"/>
    <w:qFormat/>
    <w:rPr>
      <w:rFonts w:ascii="Cambria" w:hAnsi="Cambria" w:cs="Cambria"/>
      <w:color w:val="243F60"/>
    </w:rPr>
  </w:style>
  <w:style w:type="character" w:customStyle="1" w:styleId="Titre7Car">
    <w:name w:val="Titre 7 Car"/>
    <w:qFormat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qFormat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qFormat/>
    <w:rPr>
      <w:rFonts w:cs="Calibri"/>
    </w:rPr>
  </w:style>
  <w:style w:type="character" w:customStyle="1" w:styleId="PieddepageCar">
    <w:name w:val="Pied de page Car"/>
    <w:qFormat/>
    <w:rPr>
      <w:rFonts w:cs="Calibri"/>
    </w:rPr>
  </w:style>
  <w:style w:type="character" w:customStyle="1" w:styleId="TitreCar">
    <w:name w:val="Titre Car"/>
    <w:qFormat/>
    <w:rPr>
      <w:b/>
      <w:bCs/>
      <w:sz w:val="24"/>
      <w:szCs w:val="24"/>
    </w:rPr>
  </w:style>
  <w:style w:type="character" w:customStyle="1" w:styleId="Sous-titreCar">
    <w:name w:val="Sous-titre Car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qFormat/>
    <w:rPr>
      <w:sz w:val="16"/>
      <w:szCs w:val="16"/>
    </w:rPr>
  </w:style>
  <w:style w:type="character" w:customStyle="1" w:styleId="CommentaireCar">
    <w:name w:val="Commentaire Car"/>
    <w:qFormat/>
    <w:rPr>
      <w:rFonts w:ascii="Calibri" w:eastAsia="Calibri" w:hAnsi="Calibri" w:cs="Calibri"/>
    </w:rPr>
  </w:style>
  <w:style w:type="character" w:customStyle="1" w:styleId="ObjetducommentaireCar">
    <w:name w:val="Objet du commentaire Car"/>
    <w:qFormat/>
    <w:rPr>
      <w:rFonts w:ascii="Calibri" w:eastAsia="Calibri" w:hAnsi="Calibri" w:cs="Calibri"/>
      <w:b/>
      <w:bCs/>
    </w:rPr>
  </w:style>
  <w:style w:type="character" w:customStyle="1" w:styleId="formula">
    <w:name w:val="formula"/>
    <w:qFormat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character" w:styleId="Marquedecommentaire">
    <w:name w:val="annotation reference"/>
    <w:uiPriority w:val="99"/>
    <w:semiHidden/>
    <w:unhideWhenUsed/>
    <w:qFormat/>
    <w:rsid w:val="00704379"/>
    <w:rPr>
      <w:sz w:val="16"/>
      <w:szCs w:val="16"/>
    </w:rPr>
  </w:style>
  <w:style w:type="character" w:customStyle="1" w:styleId="CommentaireCar1">
    <w:name w:val="Commentaire Car1"/>
    <w:link w:val="Commentaire"/>
    <w:uiPriority w:val="99"/>
    <w:semiHidden/>
    <w:qFormat/>
    <w:rsid w:val="00704379"/>
    <w:rPr>
      <w:rFonts w:ascii="Calibri" w:eastAsia="Calibri" w:hAnsi="Calibri" w:cs="Calibri"/>
      <w:lang w:eastAsia="zh-CN"/>
    </w:rPr>
  </w:style>
  <w:style w:type="character" w:customStyle="1" w:styleId="En-tteCar1">
    <w:name w:val="En-tête Car1"/>
    <w:basedOn w:val="Policepardfaut"/>
    <w:link w:val="En-tte"/>
    <w:qFormat/>
    <w:rsid w:val="00E73F4E"/>
    <w:rPr>
      <w:rFonts w:ascii="Calibri" w:eastAsia="Calibri" w:hAnsi="Calibri" w:cs="Calibri"/>
      <w:sz w:val="22"/>
      <w:szCs w:val="22"/>
      <w:lang w:eastAsia="zh-CN"/>
    </w:rPr>
  </w:style>
  <w:style w:type="character" w:customStyle="1" w:styleId="markedcontent">
    <w:name w:val="markedcontent"/>
    <w:basedOn w:val="Policepardfaut"/>
    <w:qFormat/>
    <w:rsid w:val="004A12DA"/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D034C2"/>
    <w:rPr>
      <w:color w:val="605E5C"/>
      <w:shd w:val="clear" w:color="auto" w:fill="E1DFDD"/>
    </w:rPr>
  </w:style>
  <w:style w:type="character" w:customStyle="1" w:styleId="citation-modalright-copy-text-link">
    <w:name w:val="citation-modal__right-copy-text-link"/>
    <w:basedOn w:val="Policepardfaut"/>
    <w:qFormat/>
    <w:rsid w:val="005F218E"/>
  </w:style>
  <w:style w:type="character" w:customStyle="1" w:styleId="Mentionnonrsolue2">
    <w:name w:val="Mention non résolue2"/>
    <w:basedOn w:val="Policepardfaut"/>
    <w:uiPriority w:val="99"/>
    <w:semiHidden/>
    <w:unhideWhenUsed/>
    <w:qFormat/>
    <w:rsid w:val="009834F4"/>
    <w:rPr>
      <w:color w:val="605E5C"/>
      <w:shd w:val="clear" w:color="auto" w:fill="E1DFDD"/>
    </w:rPr>
  </w:style>
  <w:style w:type="character" w:styleId="Numrodeligne">
    <w:name w:val="line number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sdetexte">
    <w:name w:val="Body Text"/>
    <w:basedOn w:val="Normal"/>
    <w:pPr>
      <w:spacing w:after="120"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  <w:jc w:val="center"/>
    </w:pPr>
    <w:rPr>
      <w:rFonts w:ascii="Calibri" w:eastAsia="Calibri" w:hAnsi="Calibri" w:cs="Mangal"/>
      <w:sz w:val="22"/>
      <w:szCs w:val="22"/>
      <w:lang w:eastAsia="zh-CN"/>
    </w:rPr>
  </w:style>
  <w:style w:type="paragraph" w:customStyle="1" w:styleId="Titre2">
    <w:name w:val="Titre2"/>
    <w:basedOn w:val="Normal"/>
    <w:next w:val="Sous-titre"/>
    <w:qFormat/>
    <w:pPr>
      <w:jc w:val="center"/>
    </w:pPr>
    <w:rPr>
      <w:b/>
      <w:bCs/>
      <w:lang w:val="x-none" w:eastAsia="zh-CN"/>
    </w:rPr>
  </w:style>
  <w:style w:type="paragraph" w:customStyle="1" w:styleId="caption1">
    <w:name w:val="caption1"/>
    <w:basedOn w:val="Normal"/>
    <w:qFormat/>
    <w:pPr>
      <w:suppressLineNumbers/>
      <w:spacing w:before="120" w:after="120"/>
      <w:jc w:val="center"/>
    </w:pPr>
    <w:rPr>
      <w:rFonts w:ascii="Calibri" w:eastAsia="Calibri" w:hAnsi="Calibri" w:cs="Arial"/>
      <w:i/>
      <w:iCs/>
      <w:lang w:eastAsia="zh-CN"/>
    </w:rPr>
  </w:style>
  <w:style w:type="paragraph" w:customStyle="1" w:styleId="Titre1">
    <w:name w:val="Titre1"/>
    <w:basedOn w:val="Normal"/>
    <w:next w:val="Corpsdetexte"/>
    <w:qFormat/>
    <w:pPr>
      <w:keepNext/>
      <w:spacing w:before="240" w:after="120"/>
      <w:jc w:val="center"/>
    </w:pPr>
    <w:rPr>
      <w:rFonts w:ascii="Arial" w:eastAsia="SimSun" w:hAnsi="Arial" w:cs="Mangal"/>
      <w:sz w:val="28"/>
      <w:szCs w:val="28"/>
      <w:lang w:eastAsia="zh-CN"/>
    </w:rPr>
  </w:style>
  <w:style w:type="paragraph" w:customStyle="1" w:styleId="Lgende1">
    <w:name w:val="Légende1"/>
    <w:basedOn w:val="Normal"/>
    <w:qFormat/>
    <w:pPr>
      <w:suppressLineNumbers/>
      <w:spacing w:before="120" w:after="120"/>
      <w:jc w:val="center"/>
    </w:pPr>
    <w:rPr>
      <w:rFonts w:ascii="Calibri" w:eastAsia="Calibri" w:hAnsi="Calibri" w:cs="Mangal"/>
      <w:i/>
      <w:iCs/>
      <w:lang w:eastAsia="zh-CN"/>
    </w:rPr>
  </w:style>
  <w:style w:type="paragraph" w:customStyle="1" w:styleId="Grilleclaire-Accent31">
    <w:name w:val="Grille claire - Accent 31"/>
    <w:basedOn w:val="Normal"/>
    <w:qFormat/>
    <w:pPr>
      <w:ind w:left="720"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extedebulles">
    <w:name w:val="Balloon Text"/>
    <w:basedOn w:val="Normal"/>
    <w:qFormat/>
    <w:pPr>
      <w:jc w:val="center"/>
    </w:pPr>
    <w:rPr>
      <w:rFonts w:ascii="Tahoma" w:eastAsia="Calibri" w:hAnsi="Tahoma" w:cs="Tahoma"/>
      <w:sz w:val="16"/>
      <w:szCs w:val="16"/>
      <w:lang w:eastAsia="zh-CN"/>
    </w:rPr>
  </w:style>
  <w:style w:type="paragraph" w:styleId="NormalWeb">
    <w:name w:val="Normal (Web)"/>
    <w:basedOn w:val="Normal"/>
    <w:uiPriority w:val="99"/>
    <w:qFormat/>
    <w:pPr>
      <w:spacing w:before="280" w:after="280"/>
      <w:jc w:val="center"/>
    </w:pPr>
    <w:rPr>
      <w:lang w:eastAsia="zh-CN"/>
    </w:rPr>
  </w:style>
  <w:style w:type="paragraph" w:customStyle="1" w:styleId="Corpsdetexte31">
    <w:name w:val="Corps de texte 31"/>
    <w:basedOn w:val="Normal"/>
    <w:qFormat/>
    <w:pPr>
      <w:jc w:val="center"/>
    </w:pPr>
    <w:rPr>
      <w:sz w:val="22"/>
      <w:szCs w:val="22"/>
      <w:lang w:eastAsia="zh-CN"/>
    </w:rPr>
  </w:style>
  <w:style w:type="paragraph" w:styleId="Sansinterligne">
    <w:name w:val="No Spacing"/>
    <w:qFormat/>
    <w:pPr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qFormat/>
    <w:pPr>
      <w:widowControl w:val="0"/>
      <w:jc w:val="center"/>
    </w:pPr>
    <w:rPr>
      <w:rFonts w:ascii="Calibri" w:eastAsia="Calibri" w:hAnsi="Calibri" w:cs="Calibri"/>
      <w:kern w:val="2"/>
      <w:sz w:val="24"/>
      <w:szCs w:val="24"/>
      <w:lang w:val="de-DE" w:eastAsia="zh-CN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1"/>
    <w:pPr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Pieddepage">
    <w:name w:val="footer"/>
    <w:basedOn w:val="Normal"/>
    <w:pPr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tenudetableau">
    <w:name w:val="Contenu de tableau"/>
    <w:basedOn w:val="Normal"/>
    <w:qFormat/>
    <w:pPr>
      <w:suppressLineNumber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itredetableau">
    <w:name w:val="Titre de tableau"/>
    <w:basedOn w:val="Contenudetableau"/>
    <w:qFormat/>
    <w:rPr>
      <w:b/>
      <w:bCs/>
    </w:rPr>
  </w:style>
  <w:style w:type="paragraph" w:styleId="Sous-titre">
    <w:name w:val="Subtitle"/>
    <w:basedOn w:val="Normal"/>
    <w:next w:val="Normal"/>
    <w:qFormat/>
    <w:pPr>
      <w:jc w:val="center"/>
    </w:pPr>
    <w:rPr>
      <w:rFonts w:ascii="Cambria" w:hAnsi="Cambria"/>
      <w:i/>
      <w:iCs/>
      <w:color w:val="4F81BD"/>
      <w:spacing w:val="15"/>
      <w:lang w:val="x-none" w:eastAsia="zh-CN"/>
    </w:rPr>
  </w:style>
  <w:style w:type="paragraph" w:customStyle="1" w:styleId="Commentaire1">
    <w:name w:val="Commentaire1"/>
    <w:basedOn w:val="Normal"/>
    <w:qFormat/>
    <w:pPr>
      <w:jc w:val="center"/>
    </w:pPr>
    <w:rPr>
      <w:rFonts w:ascii="Calibri" w:eastAsia="Calibri" w:hAnsi="Calibri"/>
      <w:sz w:val="20"/>
      <w:szCs w:val="20"/>
      <w:lang w:val="x-none" w:eastAsia="zh-CN"/>
    </w:rPr>
  </w:style>
  <w:style w:type="paragraph" w:styleId="Objetducommentaire">
    <w:name w:val="annotation subject"/>
    <w:basedOn w:val="Commentaire1"/>
    <w:next w:val="Commentaire1"/>
    <w:qFormat/>
    <w:rPr>
      <w:b/>
      <w:bCs/>
    </w:rPr>
  </w:style>
  <w:style w:type="paragraph" w:customStyle="1" w:styleId="Grillemoyenne1-Accent21">
    <w:name w:val="Grille moyenne 1 - Accent 21"/>
    <w:basedOn w:val="Normal"/>
    <w:uiPriority w:val="34"/>
    <w:qFormat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  <w:style w:type="paragraph" w:customStyle="1" w:styleId="western">
    <w:name w:val="western"/>
    <w:basedOn w:val="Normal"/>
    <w:qFormat/>
    <w:pPr>
      <w:spacing w:before="280" w:after="119"/>
      <w:jc w:val="center"/>
    </w:pPr>
    <w:rPr>
      <w:rFonts w:ascii="Calibri" w:hAnsi="Calibri"/>
      <w:lang w:eastAsia="zh-CN"/>
    </w:rPr>
  </w:style>
  <w:style w:type="paragraph" w:styleId="Paragraphedeliste">
    <w:name w:val="List Paragraph"/>
    <w:basedOn w:val="Normal"/>
    <w:qFormat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  <w:style w:type="paragraph" w:customStyle="1" w:styleId="Default">
    <w:name w:val="Default"/>
    <w:qFormat/>
    <w:rsid w:val="001D2EB9"/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Standard">
    <w:name w:val="Standard"/>
    <w:qFormat/>
    <w:rsid w:val="00E81639"/>
    <w:rPr>
      <w:kern w:val="2"/>
      <w:sz w:val="24"/>
      <w:szCs w:val="24"/>
      <w:lang w:eastAsia="zh-CN"/>
    </w:rPr>
  </w:style>
  <w:style w:type="paragraph" w:styleId="Commentaire">
    <w:name w:val="annotation text"/>
    <w:basedOn w:val="Normal"/>
    <w:link w:val="CommentaireCar1"/>
    <w:uiPriority w:val="99"/>
    <w:semiHidden/>
    <w:unhideWhenUsed/>
    <w:qFormat/>
    <w:rsid w:val="00704379"/>
    <w:pPr>
      <w:jc w:val="center"/>
    </w:pPr>
    <w:rPr>
      <w:rFonts w:ascii="Calibri" w:eastAsia="Calibri" w:hAnsi="Calibri" w:cs="Calibri"/>
      <w:sz w:val="20"/>
      <w:szCs w:val="20"/>
      <w:lang w:eastAsia="zh-CN"/>
    </w:rPr>
  </w:style>
  <w:style w:type="paragraph" w:styleId="Rvision">
    <w:name w:val="Revision"/>
    <w:uiPriority w:val="99"/>
    <w:semiHidden/>
    <w:qFormat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qFormat/>
    <w:rsid w:val="002E136A"/>
    <w:rPr>
      <w:rFonts w:ascii="FreeSans" w:eastAsia="Tahoma" w:hAnsi="FreeSans" w:cs="FreeSans"/>
      <w:kern w:val="2"/>
      <w:sz w:val="36"/>
      <w:lang w:eastAsia="zh-CN" w:bidi="hi-IN"/>
    </w:rPr>
  </w:style>
  <w:style w:type="paragraph" w:customStyle="1" w:styleId="Listecouleur-Accent11">
    <w:name w:val="Liste couleur - Accent 11"/>
    <w:basedOn w:val="Normal"/>
    <w:uiPriority w:val="34"/>
    <w:qFormat/>
    <w:rsid w:val="0098211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555</Words>
  <Characters>3054</Characters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Thème 3 spécialité Corps humain et santé</vt:lpstr>
    </vt:vector>
  </TitlesOfParts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2018-03-01T09:34:00Z</cp:lastPrinted>
  <dcterms:created xsi:type="dcterms:W3CDTF">2023-10-27T13:45:00Z</dcterms:created>
  <dcterms:modified xsi:type="dcterms:W3CDTF">2024-02-29T15:46:00Z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